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GoBack"/>
      <w:bookmarkEnd w:id="0"/>
      <w:r>
        <w:rPr>
          <w:rFonts w:hint="eastAsia"/>
          <w:sz w:val="22"/>
        </w:rPr>
        <w:t>令和４年９月６日</w:t>
      </w:r>
    </w:p>
    <w:p>
      <w:pPr>
        <w:pStyle w:val="0"/>
        <w:jc w:val="center"/>
        <w:rPr>
          <w:rFonts w:hint="eastAsia"/>
        </w:rPr>
      </w:pPr>
    </w:p>
    <w:p>
      <w:pPr>
        <w:pStyle w:val="0"/>
        <w:jc w:val="center"/>
        <w:rPr>
          <w:rFonts w:hint="eastAsia"/>
        </w:rPr>
      </w:pPr>
    </w:p>
    <w:p>
      <w:pPr>
        <w:pStyle w:val="0"/>
        <w:jc w:val="center"/>
        <w:rPr>
          <w:rFonts w:hint="eastAsia"/>
        </w:rPr>
      </w:pPr>
      <w:r>
        <w:rPr>
          <w:rFonts w:hint="eastAsia"/>
          <w:sz w:val="36"/>
        </w:rPr>
        <w:t>単品スライド条項の運用について</w:t>
      </w:r>
      <w:r>
        <w:rPr>
          <w:rFonts w:hint="eastAsia"/>
          <w:sz w:val="36"/>
        </w:rPr>
        <w:t>(</w:t>
      </w:r>
      <w:r>
        <w:rPr>
          <w:rFonts w:hint="eastAsia"/>
          <w:sz w:val="36"/>
        </w:rPr>
        <w:t>概要</w:t>
      </w:r>
      <w:r>
        <w:rPr>
          <w:rFonts w:hint="eastAsia"/>
          <w:sz w:val="36"/>
        </w:rPr>
        <w:t>)</w:t>
      </w:r>
    </w:p>
    <w:p>
      <w:pPr>
        <w:pStyle w:val="0"/>
        <w:ind w:leftChars="0" w:firstLine="0" w:firstLineChars="0"/>
        <w:rPr>
          <w:rFonts w:hint="eastAsia"/>
        </w:rPr>
      </w:pPr>
    </w:p>
    <w:p>
      <w:pPr>
        <w:pStyle w:val="0"/>
        <w:ind w:firstLine="210" w:firstLineChars="100"/>
        <w:rPr>
          <w:rFonts w:hint="eastAsia"/>
        </w:rPr>
      </w:pPr>
      <w:r>
        <w:rPr>
          <w:rFonts w:hint="eastAsia"/>
        </w:rPr>
        <w:t>建設工事において、特定の資材価格の急激な変動により、請負代金額が不適当となった場合における請負代金額の変更については、神栖市における建設工事請負契約書第２６条第５項（単品スライド条項）に規定されているところですが、このたび国土交通省において、この規定の運用の一部が変更されました。</w:t>
      </w:r>
    </w:p>
    <w:p>
      <w:pPr>
        <w:pStyle w:val="0"/>
        <w:ind w:firstLine="210" w:firstLineChars="100"/>
        <w:rPr>
          <w:rFonts w:hint="eastAsia"/>
        </w:rPr>
      </w:pPr>
      <w:r>
        <w:rPr>
          <w:rFonts w:hint="eastAsia"/>
        </w:rPr>
        <w:t>よって、神栖市の発注工事においても、国土交通省の運用に準じ下記のとおりとしたのでお知らせいたします。関係者各位におかれましては、遺漏のないよう、よろしくお願いいたします。</w:t>
      </w:r>
    </w:p>
    <w:p>
      <w:pPr>
        <w:pStyle w:val="0"/>
        <w:ind w:leftChars="0" w:firstLine="0" w:firstLineChars="0"/>
        <w:rPr>
          <w:rFonts w:hint="eastAsia"/>
        </w:rPr>
      </w:pPr>
    </w:p>
    <w:p>
      <w:pPr>
        <w:pStyle w:val="0"/>
        <w:ind w:firstLine="210" w:firstLineChars="100"/>
        <w:jc w:val="center"/>
        <w:rPr>
          <w:rFonts w:hint="eastAsia"/>
        </w:rPr>
      </w:pPr>
      <w:r>
        <w:rPr>
          <w:rFonts w:hint="eastAsia"/>
        </w:rPr>
        <w:t>記</w:t>
      </w:r>
    </w:p>
    <w:p>
      <w:pPr>
        <w:pStyle w:val="0"/>
        <w:ind w:firstLine="210" w:firstLineChars="100"/>
        <w:rPr>
          <w:rFonts w:hint="eastAsia"/>
        </w:rPr>
      </w:pPr>
    </w:p>
    <w:p>
      <w:pPr>
        <w:pStyle w:val="0"/>
        <w:rPr>
          <w:rFonts w:hint="eastAsia"/>
          <w:b w:val="1"/>
          <w:u w:val="single" w:color="auto"/>
          <w:bdr w:val="none" w:color="auto" w:sz="0" w:space="0"/>
        </w:rPr>
      </w:pPr>
      <w:r>
        <w:rPr>
          <w:rFonts w:hint="eastAsia"/>
          <w:b w:val="1"/>
          <w:sz w:val="28"/>
          <w:u w:val="single" w:color="auto"/>
          <w:bdr w:val="none" w:color="auto" w:sz="0" w:space="0"/>
        </w:rPr>
        <w:t>１　対象となる工事</w:t>
      </w:r>
    </w:p>
    <w:p>
      <w:pPr>
        <w:pStyle w:val="0"/>
        <w:ind w:left="0" w:leftChars="0" w:firstLine="0" w:firstLineChars="0"/>
        <w:rPr>
          <w:rFonts w:hint="eastAsia"/>
        </w:rPr>
      </w:pPr>
      <w:r>
        <w:rPr>
          <w:rFonts w:hint="eastAsia"/>
        </w:rPr>
        <w:t>（１）現在契約中または今後新規発注する工事で</w:t>
      </w:r>
      <w:r>
        <w:rPr>
          <w:rFonts w:hint="eastAsia"/>
          <w:b w:val="1"/>
          <w:u w:val="single" w:color="auto"/>
        </w:rPr>
        <w:t>残工期が２か月以上ある全ての工事</w:t>
      </w:r>
      <w:r>
        <w:rPr>
          <w:rFonts w:hint="eastAsia"/>
          <w:b w:val="1"/>
        </w:rPr>
        <w:t>。</w:t>
      </w:r>
    </w:p>
    <w:p>
      <w:pPr>
        <w:pStyle w:val="0"/>
        <w:ind w:left="0" w:leftChars="0" w:hanging="630" w:hangingChars="300"/>
        <w:rPr>
          <w:rFonts w:hint="eastAsia"/>
        </w:rPr>
      </w:pPr>
      <w:r>
        <w:rPr>
          <w:rFonts w:hint="eastAsia"/>
        </w:rPr>
        <w:t>（２）実際の購入時・搬入時の主要な工事材料の実勢価格または実際の購入価格を用いて当該工事の請負代金額を再計算した場合に、当初金額よりも</w:t>
      </w:r>
      <w:r>
        <w:rPr>
          <w:rFonts w:hint="eastAsia"/>
          <w:b w:val="1"/>
          <w:u w:val="single" w:color="auto"/>
        </w:rPr>
        <w:t>１％以上</w:t>
      </w:r>
      <w:r>
        <w:rPr>
          <w:rFonts w:hint="eastAsia"/>
        </w:rPr>
        <w:t>変動する工事。</w:t>
      </w:r>
    </w:p>
    <w:p>
      <w:pPr>
        <w:pStyle w:val="0"/>
        <w:ind w:firstLine="210" w:firstLineChars="100"/>
        <w:rPr>
          <w:rFonts w:hint="eastAsia"/>
        </w:rPr>
      </w:pPr>
    </w:p>
    <w:p>
      <w:pPr>
        <w:pStyle w:val="0"/>
        <w:ind w:left="420" w:leftChars="100" w:hanging="210" w:hangingChars="100"/>
        <w:rPr>
          <w:rFonts w:hint="eastAsia"/>
        </w:rPr>
      </w:pPr>
      <w:r>
        <w:rPr>
          <w:rFonts w:hint="eastAsia"/>
        </w:rPr>
        <w:t>※ただし、工事請負契約書第３９条の規定に基づく部分引き渡しを終えた工事部分は対象外とする。</w:t>
      </w:r>
    </w:p>
    <w:p>
      <w:pPr>
        <w:pStyle w:val="0"/>
        <w:ind w:left="420" w:leftChars="100" w:hanging="210" w:hangingChars="100"/>
        <w:rPr>
          <w:rFonts w:hint="eastAsia"/>
        </w:rPr>
      </w:pPr>
      <w:r>
        <w:rPr>
          <w:rFonts w:hint="eastAsia"/>
        </w:rPr>
        <w:t>※実勢価格とは、</w:t>
      </w:r>
      <w:r>
        <w:rPr>
          <w:rFonts w:hint="eastAsia"/>
          <w:color w:val="auto"/>
        </w:rPr>
        <w:t>物価資料など予定価格を算出する際に用いた設計単価のこと。</w:t>
      </w:r>
    </w:p>
    <w:p>
      <w:pPr>
        <w:pStyle w:val="0"/>
        <w:rPr>
          <w:rFonts w:hint="eastAsia"/>
        </w:rPr>
      </w:pPr>
    </w:p>
    <w:p>
      <w:pPr>
        <w:pStyle w:val="0"/>
        <w:rPr>
          <w:rFonts w:hint="eastAsia"/>
          <w:b w:val="1"/>
          <w:u w:val="single" w:color="auto"/>
          <w:bdr w:val="none" w:color="auto" w:sz="0" w:space="0"/>
        </w:rPr>
      </w:pPr>
      <w:r>
        <w:rPr>
          <w:rFonts w:hint="eastAsia"/>
          <w:b w:val="1"/>
          <w:sz w:val="28"/>
          <w:u w:val="single" w:color="auto"/>
          <w:bdr w:val="none" w:color="auto" w:sz="0" w:space="0"/>
        </w:rPr>
        <w:t>２　対象となる「主要な工事材料」</w:t>
      </w:r>
    </w:p>
    <w:p>
      <w:pPr>
        <w:pStyle w:val="0"/>
        <w:ind w:leftChars="0" w:firstLineChars="0"/>
        <w:rPr>
          <w:rFonts w:hint="eastAsia"/>
          <w:b w:val="0"/>
        </w:rPr>
      </w:pPr>
    </w:p>
    <w:tbl>
      <w:tblPr>
        <w:tblStyle w:val="18"/>
        <w:tblW w:w="0" w:type="auto"/>
        <w:tblInd w:w="0" w:type="dxa"/>
        <w:tblLayout w:type="fixed"/>
        <w:tblLook w:firstRow="1" w:lastRow="0" w:firstColumn="1" w:lastColumn="0" w:noHBand="0" w:noVBand="1" w:val="04A0"/>
      </w:tblPr>
      <w:tblGrid>
        <w:gridCol w:w="2418"/>
        <w:gridCol w:w="6870"/>
      </w:tblGrid>
      <w:tr>
        <w:trPr/>
        <w:tc>
          <w:tcPr>
            <w:tcW w:w="2418" w:type="dxa"/>
            <w:vAlign w:val="top"/>
          </w:tcPr>
          <w:p>
            <w:pPr>
              <w:pStyle w:val="0"/>
              <w:rPr>
                <w:rFonts w:hint="eastAsia"/>
              </w:rPr>
            </w:pPr>
            <w:r>
              <w:rPr>
                <w:rFonts w:hint="eastAsia"/>
              </w:rPr>
              <w:t>品目</w:t>
            </w:r>
          </w:p>
        </w:tc>
        <w:tc>
          <w:tcPr>
            <w:tcW w:w="6870" w:type="dxa"/>
            <w:vAlign w:val="top"/>
          </w:tcPr>
          <w:p>
            <w:pPr>
              <w:pStyle w:val="0"/>
              <w:rPr>
                <w:rFonts w:hint="eastAsia"/>
              </w:rPr>
            </w:pPr>
            <w:r>
              <w:rPr>
                <w:rFonts w:hint="eastAsia"/>
              </w:rPr>
              <w:t>各材料</w:t>
            </w:r>
          </w:p>
        </w:tc>
      </w:tr>
      <w:tr>
        <w:trPr/>
        <w:tc>
          <w:tcPr>
            <w:tcW w:w="2418" w:type="dxa"/>
            <w:vAlign w:val="top"/>
          </w:tcPr>
          <w:p>
            <w:pPr>
              <w:pStyle w:val="0"/>
              <w:rPr>
                <w:rFonts w:hint="eastAsia"/>
              </w:rPr>
            </w:pPr>
            <w:r>
              <w:rPr>
                <w:rFonts w:hint="eastAsia"/>
              </w:rPr>
              <w:t>鋼材類</w:t>
            </w:r>
          </w:p>
        </w:tc>
        <w:tc>
          <w:tcPr>
            <w:tcW w:w="6870" w:type="dxa"/>
            <w:vAlign w:val="top"/>
          </w:tcPr>
          <w:p>
            <w:pPr>
              <w:pStyle w:val="0"/>
              <w:rPr>
                <w:rFonts w:hint="eastAsia"/>
              </w:rPr>
            </w:pPr>
            <w:r>
              <w:rPr>
                <w:rFonts w:hint="eastAsia"/>
                <w:b w:val="0"/>
              </w:rPr>
              <w:t>H</w:t>
            </w:r>
            <w:r>
              <w:rPr>
                <w:rFonts w:hint="eastAsia"/>
                <w:b w:val="0"/>
              </w:rPr>
              <w:t>形鋼、異形棒鋼、厚板、鋼矢板、鋼管杭、鉄鋼二次製品、ガードレール、スクラップ等、鋼材を主材料として構成されている材料</w:t>
            </w:r>
          </w:p>
        </w:tc>
      </w:tr>
      <w:tr>
        <w:trPr/>
        <w:tc>
          <w:tcPr>
            <w:tcW w:w="2418" w:type="dxa"/>
            <w:vAlign w:val="top"/>
          </w:tcPr>
          <w:p>
            <w:pPr>
              <w:pStyle w:val="0"/>
              <w:rPr>
                <w:rFonts w:hint="eastAsia"/>
              </w:rPr>
            </w:pPr>
            <w:r>
              <w:rPr>
                <w:rFonts w:hint="eastAsia"/>
              </w:rPr>
              <w:t>燃料油</w:t>
            </w:r>
          </w:p>
        </w:tc>
        <w:tc>
          <w:tcPr>
            <w:tcW w:w="6870" w:type="dxa"/>
            <w:vAlign w:val="top"/>
          </w:tcPr>
          <w:p>
            <w:pPr>
              <w:pStyle w:val="0"/>
              <w:rPr>
                <w:rFonts w:hint="eastAsia"/>
              </w:rPr>
            </w:pPr>
            <w:r>
              <w:rPr>
                <w:rFonts w:hint="eastAsia"/>
              </w:rPr>
              <w:t>ガソリン、軽油、混合油、重油、灯油</w:t>
            </w:r>
          </w:p>
          <w:p>
            <w:pPr>
              <w:pStyle w:val="0"/>
              <w:rPr>
                <w:rFonts w:hint="eastAsia"/>
              </w:rPr>
            </w:pPr>
            <w:r>
              <w:rPr>
                <w:rFonts w:hint="eastAsia"/>
              </w:rPr>
              <w:t>※</w:t>
            </w:r>
            <w:r>
              <w:rPr>
                <w:rFonts w:hint="eastAsia"/>
                <w:u w:val="single" w:color="auto"/>
              </w:rPr>
              <w:t>潤滑油など、燃料油でないものは対象材料としない。</w:t>
            </w:r>
          </w:p>
        </w:tc>
      </w:tr>
      <w:tr>
        <w:trPr/>
        <w:tc>
          <w:tcPr>
            <w:tcW w:w="2418" w:type="dxa"/>
            <w:vAlign w:val="top"/>
          </w:tcPr>
          <w:p>
            <w:pPr>
              <w:pStyle w:val="0"/>
              <w:rPr>
                <w:rFonts w:hint="eastAsia"/>
              </w:rPr>
            </w:pPr>
            <w:r>
              <w:rPr>
                <w:rFonts w:hint="eastAsia"/>
              </w:rPr>
              <w:t>その他主要な工事材料</w:t>
            </w:r>
          </w:p>
        </w:tc>
        <w:tc>
          <w:tcPr>
            <w:tcW w:w="6870" w:type="dxa"/>
            <w:vAlign w:val="top"/>
          </w:tcPr>
          <w:p>
            <w:pPr>
              <w:pStyle w:val="0"/>
              <w:rPr>
                <w:rFonts w:hint="eastAsia"/>
              </w:rPr>
            </w:pPr>
            <w:r>
              <w:rPr>
                <w:rFonts w:hint="eastAsia"/>
              </w:rPr>
              <w:t>アスファルト類、コンクリート類等の鋼材類、燃料油以外の主要な工事材料</w:t>
            </w:r>
          </w:p>
        </w:tc>
      </w:tr>
    </w:tbl>
    <w:p>
      <w:pPr>
        <w:pStyle w:val="0"/>
        <w:ind w:left="1995" w:leftChars="100" w:hanging="1785" w:hangingChars="850"/>
        <w:rPr>
          <w:rFonts w:hint="eastAsia"/>
          <w:b w:val="0"/>
        </w:rPr>
      </w:pPr>
    </w:p>
    <w:p>
      <w:pPr>
        <w:pStyle w:val="0"/>
        <w:ind w:left="420" w:leftChars="100" w:hanging="210" w:hangingChars="100"/>
        <w:jc w:val="both"/>
        <w:rPr>
          <w:rFonts w:hint="eastAsia"/>
          <w:b w:val="1"/>
        </w:rPr>
      </w:pPr>
    </w:p>
    <w:p>
      <w:pPr>
        <w:pStyle w:val="0"/>
        <w:ind w:left="420" w:leftChars="100" w:hanging="210" w:hangingChars="100"/>
        <w:jc w:val="both"/>
        <w:rPr>
          <w:rFonts w:hint="eastAsia"/>
          <w:b w:val="1"/>
        </w:rPr>
      </w:pPr>
    </w:p>
    <w:p>
      <w:pPr>
        <w:pStyle w:val="0"/>
        <w:ind w:left="420" w:leftChars="100" w:hanging="210" w:hangingChars="100"/>
        <w:jc w:val="both"/>
        <w:rPr>
          <w:rFonts w:hint="eastAsia"/>
          <w:b w:val="1"/>
        </w:rPr>
      </w:pPr>
    </w:p>
    <w:p>
      <w:pPr>
        <w:pStyle w:val="0"/>
        <w:ind w:left="420" w:leftChars="100" w:hanging="210" w:hangingChars="100"/>
        <w:jc w:val="both"/>
        <w:rPr>
          <w:rFonts w:hint="eastAsia"/>
          <w:b w:val="1"/>
        </w:rPr>
      </w:pPr>
      <w:r>
        <w:rPr>
          <w:rFonts w:hint="eastAsia"/>
          <w:b w:val="1"/>
          <w:color w:val="auto"/>
        </w:rPr>
        <w:t>※対象となる主要な工事材料について、「</w:t>
      </w:r>
      <w:r>
        <w:rPr>
          <w:rFonts w:hint="eastAsia"/>
          <w:b w:val="1"/>
          <w:color w:val="auto"/>
          <w:u w:val="single" w:color="auto"/>
        </w:rPr>
        <w:t>品目毎の合計額</w:t>
      </w:r>
      <w:r>
        <w:rPr>
          <w:rFonts w:hint="eastAsia"/>
          <w:b w:val="1"/>
          <w:color w:val="auto"/>
        </w:rPr>
        <w:t>」が請負代金額の</w:t>
      </w:r>
      <w:r>
        <w:rPr>
          <w:rFonts w:hint="eastAsia"/>
          <w:b w:val="1"/>
          <w:color w:val="auto"/>
          <w:u w:val="single" w:color="auto"/>
        </w:rPr>
        <w:t>１％を超えるもの</w:t>
      </w:r>
      <w:r>
        <w:rPr>
          <w:rFonts w:hint="eastAsia"/>
          <w:b w:val="1"/>
          <w:color w:val="auto"/>
        </w:rPr>
        <w:t>が対象となる。</w:t>
      </w:r>
    </w:p>
    <w:p>
      <w:pPr>
        <w:pStyle w:val="0"/>
        <w:ind w:left="420" w:leftChars="200" w:firstLine="0" w:firstLineChars="0"/>
        <w:jc w:val="both"/>
        <w:rPr>
          <w:rFonts w:hint="eastAsia"/>
        </w:rPr>
      </w:pPr>
      <w:r>
        <w:rPr>
          <w:rFonts w:hint="eastAsia"/>
          <w:color w:val="auto"/>
        </w:rPr>
        <w:t>（</w:t>
      </w:r>
      <w:r>
        <w:rPr>
          <w:rFonts w:hint="eastAsia"/>
        </w:rPr>
        <w:t>例）①鋼材類の増額分１．１％　→　１％を超えているため対象</w:t>
      </w:r>
    </w:p>
    <w:p>
      <w:pPr>
        <w:pStyle w:val="0"/>
        <w:ind w:left="420" w:leftChars="200" w:firstLine="630" w:firstLineChars="300"/>
        <w:jc w:val="both"/>
        <w:rPr>
          <w:rFonts w:hint="eastAsia"/>
        </w:rPr>
      </w:pPr>
      <w:r>
        <w:rPr>
          <w:rFonts w:hint="eastAsia"/>
        </w:rPr>
        <w:t>②燃料油の増額分０．８％　</w:t>
      </w:r>
      <w:r>
        <w:rPr>
          <w:rFonts w:hint="eastAsia"/>
          <w:u w:val="none" w:color="auto"/>
        </w:rPr>
        <w:t>→　</w:t>
      </w:r>
      <w:r>
        <w:rPr>
          <w:rFonts w:hint="eastAsia"/>
          <w:u w:val="single" w:color="auto"/>
        </w:rPr>
        <w:t>１％以下であるため対象外</w:t>
      </w:r>
    </w:p>
    <w:p>
      <w:pPr>
        <w:pStyle w:val="0"/>
        <w:ind w:left="420" w:leftChars="200" w:firstLine="630" w:firstLineChars="300"/>
        <w:jc w:val="both"/>
        <w:rPr>
          <w:rFonts w:hint="eastAsia"/>
        </w:rPr>
      </w:pPr>
      <w:r>
        <w:rPr>
          <w:rFonts w:hint="eastAsia"/>
        </w:rPr>
        <w:t>③その他主要な工事材料の増額分０．７％　→　</w:t>
      </w:r>
      <w:r>
        <w:rPr>
          <w:rFonts w:hint="eastAsia"/>
          <w:u w:val="single" w:color="auto"/>
        </w:rPr>
        <w:t>１％以下であるため対象外</w:t>
      </w:r>
    </w:p>
    <w:p>
      <w:pPr>
        <w:pStyle w:val="0"/>
        <w:ind w:left="420" w:leftChars="200" w:firstLine="630" w:firstLineChars="300"/>
        <w:jc w:val="both"/>
        <w:rPr>
          <w:rFonts w:hint="eastAsia"/>
        </w:rPr>
      </w:pPr>
    </w:p>
    <w:p>
      <w:pPr>
        <w:pStyle w:val="0"/>
        <w:ind w:left="0" w:leftChars="0" w:hanging="560" w:hangingChars="200"/>
        <w:jc w:val="both"/>
        <w:rPr>
          <w:rFonts w:hint="eastAsia"/>
          <w:b w:val="1"/>
          <w:u w:val="single" w:color="auto"/>
          <w:bdr w:val="none" w:color="auto" w:sz="0" w:space="0"/>
        </w:rPr>
      </w:pPr>
      <w:r>
        <w:rPr>
          <w:rFonts w:hint="eastAsia"/>
          <w:b w:val="1"/>
          <w:sz w:val="28"/>
          <w:u w:val="single" w:color="auto"/>
          <w:bdr w:val="none" w:color="auto" w:sz="0" w:space="0"/>
        </w:rPr>
        <w:t>３　適用手続</w:t>
      </w:r>
    </w:p>
    <w:p>
      <w:pPr>
        <w:pStyle w:val="0"/>
        <w:ind w:left="0" w:leftChars="0" w:firstLineChars="0"/>
        <w:jc w:val="both"/>
        <w:rPr>
          <w:rFonts w:hint="eastAsia"/>
          <w:b w:val="0"/>
          <w:u w:val="none" w:color="auto"/>
        </w:rPr>
      </w:pPr>
      <w:r>
        <w:rPr>
          <w:rFonts w:hint="eastAsia"/>
        </w:rPr>
        <w:t>（１）請求時期、契約変更の時期。</w:t>
      </w:r>
    </w:p>
    <w:p>
      <w:pPr>
        <w:pStyle w:val="0"/>
        <w:ind w:left="0" w:leftChars="0" w:firstLine="420" w:firstLineChars="200"/>
        <w:jc w:val="both"/>
        <w:rPr>
          <w:rFonts w:hint="eastAsia"/>
          <w:b w:val="0"/>
          <w:u w:val="none" w:color="auto"/>
        </w:rPr>
      </w:pPr>
      <w:r>
        <w:rPr>
          <w:rFonts w:hint="eastAsia"/>
          <w:b w:val="0"/>
          <w:u w:val="none" w:color="auto"/>
        </w:rPr>
        <w:t>○工期末の</w:t>
      </w:r>
      <w:r>
        <w:rPr>
          <w:rFonts w:hint="eastAsia"/>
          <w:b w:val="1"/>
          <w:u w:val="single" w:color="auto"/>
        </w:rPr>
        <w:t>２か月前まで</w:t>
      </w:r>
      <w:r>
        <w:rPr>
          <w:rFonts w:hint="eastAsia"/>
          <w:b w:val="0"/>
          <w:u w:val="none" w:color="auto"/>
        </w:rPr>
        <w:t>に請求</w:t>
      </w:r>
    </w:p>
    <w:p>
      <w:pPr>
        <w:pStyle w:val="0"/>
        <w:ind w:left="0" w:leftChars="0" w:firstLine="420" w:firstLineChars="200"/>
        <w:jc w:val="both"/>
        <w:rPr>
          <w:rFonts w:hint="eastAsia"/>
          <w:b w:val="0"/>
          <w:u w:val="none" w:color="auto"/>
        </w:rPr>
      </w:pPr>
      <w:r>
        <w:rPr>
          <w:rFonts w:hint="eastAsia"/>
          <w:b w:val="0"/>
          <w:u w:val="none" w:color="auto"/>
        </w:rPr>
        <w:t>○工期末に契約変更</w:t>
      </w:r>
    </w:p>
    <w:p>
      <w:pPr>
        <w:pStyle w:val="0"/>
        <w:ind w:left="630" w:leftChars="200" w:hanging="210" w:hangingChars="100"/>
        <w:jc w:val="both"/>
        <w:rPr>
          <w:rFonts w:hint="eastAsia"/>
        </w:rPr>
      </w:pPr>
      <w:r>
        <w:rPr>
          <w:rFonts w:hint="eastAsia"/>
        </w:rPr>
        <w:t>※ただし、工期が複数年あり、年度ごとに完済部分検査を行うものについては、各年度末に変更契約を行う。この場合は、各年度末や工期末の２か月前までに請求すること。</w:t>
      </w:r>
    </w:p>
    <w:p>
      <w:pPr>
        <w:pStyle w:val="0"/>
        <w:ind w:left="420" w:leftChars="100" w:hanging="210" w:hangingChars="100"/>
        <w:jc w:val="both"/>
        <w:rPr>
          <w:rFonts w:hint="eastAsia"/>
        </w:rPr>
      </w:pPr>
    </w:p>
    <w:p>
      <w:pPr>
        <w:pStyle w:val="0"/>
        <w:ind w:leftChars="0" w:firstLineChars="0"/>
        <w:jc w:val="both"/>
        <w:rPr>
          <w:rFonts w:hint="eastAsia"/>
        </w:rPr>
      </w:pPr>
      <w:r>
        <w:rPr>
          <w:rFonts w:hint="eastAsia"/>
        </w:rPr>
        <w:t>（２）証明書類の提出（必須）。</w:t>
      </w:r>
    </w:p>
    <w:p>
      <w:pPr>
        <w:pStyle w:val="0"/>
        <w:ind w:left="420" w:leftChars="200" w:firstLine="210" w:firstLineChars="100"/>
        <w:jc w:val="both"/>
        <w:rPr>
          <w:rFonts w:hint="eastAsia"/>
        </w:rPr>
      </w:pPr>
      <w:r>
        <w:rPr>
          <w:rFonts w:hint="eastAsia"/>
        </w:rPr>
        <w:t>受注者は、受注者が実際に購入した対象材料の</w:t>
      </w:r>
      <w:r>
        <w:rPr>
          <w:rFonts w:hint="eastAsia"/>
          <w:b w:val="1"/>
          <w:u w:val="single" w:color="auto"/>
        </w:rPr>
        <w:t>価格</w:t>
      </w:r>
      <w:r>
        <w:rPr>
          <w:rFonts w:hint="eastAsia"/>
          <w:b w:val="1"/>
          <w:u w:val="single" w:color="auto"/>
        </w:rPr>
        <w:t>(</w:t>
      </w:r>
      <w:r>
        <w:rPr>
          <w:rFonts w:hint="eastAsia"/>
          <w:b w:val="1"/>
          <w:u w:val="single" w:color="auto"/>
        </w:rPr>
        <w:t>数量及び単価</w:t>
      </w:r>
      <w:r>
        <w:rPr>
          <w:rFonts w:hint="eastAsia"/>
          <w:b w:val="1"/>
          <w:u w:val="single" w:color="auto"/>
        </w:rPr>
        <w:t>)</w:t>
      </w:r>
      <w:r>
        <w:rPr>
          <w:rFonts w:hint="eastAsia"/>
          <w:b w:val="1"/>
          <w:u w:val="single" w:color="auto"/>
        </w:rPr>
        <w:t>、購入先、搬入・購入時期</w:t>
      </w:r>
      <w:r>
        <w:rPr>
          <w:rFonts w:hint="eastAsia"/>
          <w:u w:val="single" w:color="auto"/>
        </w:rPr>
        <w:t>を</w:t>
      </w:r>
      <w:r>
        <w:rPr>
          <w:rFonts w:hint="eastAsia"/>
          <w:b w:val="1"/>
          <w:u w:val="single" w:color="auto"/>
        </w:rPr>
        <w:t>証明する書類を提出</w:t>
      </w:r>
      <w:r>
        <w:rPr>
          <w:rFonts w:hint="eastAsia"/>
        </w:rPr>
        <w:t>する必要がある。</w:t>
      </w:r>
    </w:p>
    <w:p>
      <w:pPr>
        <w:pStyle w:val="0"/>
        <w:ind w:left="630" w:leftChars="200" w:hanging="210" w:hangingChars="100"/>
        <w:jc w:val="both"/>
        <w:rPr>
          <w:rFonts w:hint="eastAsia"/>
        </w:rPr>
      </w:pPr>
      <w:r>
        <w:rPr>
          <w:rFonts w:hint="eastAsia"/>
        </w:rPr>
        <w:t>※燃料油について、証明書類の提出が難しい事情がある場合に、主用途に用いた数量の証明書が提出されたときは、やむを得ないと認める範囲で、その用途に用いた数量への適用を認めることができる。</w:t>
      </w:r>
    </w:p>
    <w:p>
      <w:pPr>
        <w:pStyle w:val="0"/>
        <w:ind w:left="0" w:leftChars="0" w:firstLineChars="0"/>
        <w:jc w:val="both"/>
        <w:rPr>
          <w:rFonts w:hint="eastAsia"/>
        </w:rPr>
      </w:pPr>
    </w:p>
    <w:p>
      <w:pPr>
        <w:pStyle w:val="0"/>
        <w:ind w:left="0" w:leftChars="0" w:firstLineChars="0"/>
        <w:jc w:val="both"/>
        <w:rPr>
          <w:rFonts w:hint="eastAsia"/>
          <w:b w:val="1"/>
          <w:u w:val="single" w:color="auto"/>
          <w:bdr w:val="none" w:color="auto" w:sz="0" w:space="0"/>
        </w:rPr>
      </w:pPr>
      <w:r>
        <w:rPr>
          <w:rFonts w:hint="eastAsia"/>
          <w:b w:val="1"/>
          <w:sz w:val="28"/>
          <w:u w:val="single" w:color="auto"/>
          <w:bdr w:val="none" w:color="auto" w:sz="0" w:space="0"/>
        </w:rPr>
        <w:t>４　スライド額の計算で用いる実勢価格</w:t>
      </w:r>
    </w:p>
    <w:p>
      <w:pPr>
        <w:pStyle w:val="0"/>
        <w:ind w:left="0" w:leftChars="0" w:firstLine="210" w:firstLineChars="100"/>
        <w:jc w:val="both"/>
        <w:rPr>
          <w:rFonts w:hint="eastAsia"/>
        </w:rPr>
      </w:pPr>
      <w:r>
        <w:rPr>
          <w:rFonts w:hint="eastAsia"/>
          <w:b w:val="0"/>
        </w:rPr>
        <w:t>①鋼材類・・・現</w:t>
      </w:r>
      <w:r>
        <w:rPr>
          <w:rFonts w:hint="eastAsia"/>
        </w:rPr>
        <w:t>場に</w:t>
      </w:r>
      <w:r>
        <w:rPr>
          <w:rFonts w:hint="eastAsia"/>
          <w:b w:val="1"/>
          <w:u w:val="single" w:color="auto"/>
        </w:rPr>
        <w:t>搬入された月</w:t>
      </w:r>
      <w:r>
        <w:rPr>
          <w:rFonts w:hint="eastAsia"/>
        </w:rPr>
        <w:t>の物価資料の価格</w:t>
      </w:r>
    </w:p>
    <w:p>
      <w:pPr>
        <w:pStyle w:val="0"/>
        <w:ind w:left="0" w:leftChars="0" w:firstLine="210" w:firstLineChars="100"/>
        <w:jc w:val="both"/>
        <w:rPr>
          <w:rFonts w:hint="eastAsia"/>
        </w:rPr>
      </w:pPr>
      <w:r>
        <w:rPr>
          <w:rFonts w:hint="eastAsia"/>
          <w:b w:val="0"/>
        </w:rPr>
        <w:t>②燃料油・・・</w:t>
      </w:r>
      <w:r>
        <w:rPr>
          <w:rFonts w:hint="eastAsia"/>
          <w:b w:val="1"/>
          <w:u w:val="single" w:color="auto"/>
        </w:rPr>
        <w:t>購入した月の翌月</w:t>
      </w:r>
      <w:r>
        <w:rPr>
          <w:rFonts w:hint="eastAsia"/>
        </w:rPr>
        <w:t>の物価資料の価格</w:t>
      </w:r>
    </w:p>
    <w:p>
      <w:pPr>
        <w:pStyle w:val="0"/>
        <w:ind w:left="0" w:leftChars="0" w:firstLine="210" w:firstLineChars="100"/>
        <w:jc w:val="both"/>
        <w:rPr>
          <w:rFonts w:hint="eastAsia"/>
        </w:rPr>
      </w:pPr>
      <w:r>
        <w:rPr>
          <w:rFonts w:hint="eastAsia"/>
          <w:b w:val="0"/>
        </w:rPr>
        <w:t>③その他主要な工事材料・・・現</w:t>
      </w:r>
      <w:r>
        <w:rPr>
          <w:rFonts w:hint="eastAsia"/>
        </w:rPr>
        <w:t>場に</w:t>
      </w:r>
      <w:r>
        <w:rPr>
          <w:rFonts w:hint="eastAsia"/>
          <w:b w:val="1"/>
          <w:color w:val="auto"/>
          <w:u w:val="single" w:color="auto"/>
        </w:rPr>
        <w:t>搬入された月</w:t>
      </w:r>
      <w:r>
        <w:rPr>
          <w:rFonts w:hint="eastAsia"/>
        </w:rPr>
        <w:t>の物価資料の価格</w:t>
      </w:r>
    </w:p>
    <w:p>
      <w:pPr>
        <w:pStyle w:val="0"/>
        <w:ind w:left="0" w:leftChars="0" w:firstLine="210" w:firstLineChars="100"/>
        <w:jc w:val="both"/>
        <w:rPr>
          <w:rFonts w:hint="eastAsia"/>
        </w:rPr>
      </w:pPr>
    </w:p>
    <w:p>
      <w:pPr>
        <w:pStyle w:val="0"/>
        <w:ind w:left="0" w:leftChars="0" w:firstLine="210" w:firstLineChars="100"/>
        <w:jc w:val="both"/>
        <w:rPr>
          <w:rFonts w:hint="eastAsia"/>
        </w:rPr>
      </w:pPr>
      <w:r>
        <w:rPr>
          <w:rFonts w:hint="eastAsia"/>
        </w:rPr>
        <w:t>※複数回に分けて購入した場合は、月ごとの購入数量で加重平均とする。</w:t>
      </w:r>
    </w:p>
    <w:p>
      <w:pPr>
        <w:pStyle w:val="0"/>
        <w:ind w:left="420" w:leftChars="100" w:hanging="210" w:hangingChars="100"/>
        <w:jc w:val="both"/>
        <w:rPr>
          <w:rFonts w:hint="eastAsia"/>
        </w:rPr>
      </w:pPr>
      <w:r>
        <w:rPr>
          <w:rFonts w:hint="eastAsia"/>
        </w:rPr>
        <w:t>※月ごとの購入数量が不明の場合は、工事期間の平均（工期の始期が属する月の翌月から工期末が属する月の前々月までの各月の平均）とする。</w:t>
      </w:r>
    </w:p>
    <w:p>
      <w:pPr>
        <w:pStyle w:val="0"/>
        <w:ind w:left="0" w:leftChars="0" w:firstLineChars="0"/>
        <w:jc w:val="both"/>
        <w:rPr>
          <w:rFonts w:hint="eastAsia"/>
        </w:rPr>
      </w:pPr>
    </w:p>
    <w:p>
      <w:pPr>
        <w:pStyle w:val="0"/>
        <w:ind w:left="0" w:leftChars="0" w:firstLineChars="0"/>
        <w:jc w:val="both"/>
        <w:rPr>
          <w:rFonts w:hint="eastAsia"/>
          <w:b w:val="1"/>
          <w:u w:val="single" w:color="auto"/>
          <w:bdr w:val="none" w:color="auto" w:sz="0" w:space="0"/>
        </w:rPr>
      </w:pPr>
      <w:r>
        <w:rPr>
          <w:rFonts w:hint="eastAsia"/>
          <w:b w:val="1"/>
          <w:sz w:val="28"/>
          <w:u w:val="single" w:color="auto"/>
          <w:bdr w:val="none" w:color="auto" w:sz="0" w:space="0"/>
        </w:rPr>
        <w:t>５　スライド額の計算で用いる対象数量</w:t>
      </w:r>
    </w:p>
    <w:p>
      <w:pPr>
        <w:pStyle w:val="0"/>
        <w:ind w:left="0" w:leftChars="0" w:firstLine="0" w:firstLineChars="0"/>
        <w:jc w:val="both"/>
        <w:rPr>
          <w:rFonts w:hint="eastAsia"/>
        </w:rPr>
      </w:pPr>
      <w:r>
        <w:rPr>
          <w:rFonts w:hint="eastAsia"/>
        </w:rPr>
        <w:t>（１）</w:t>
      </w:r>
      <w:r>
        <w:rPr>
          <w:rFonts w:hint="eastAsia"/>
          <w:sz w:val="22"/>
        </w:rPr>
        <w:t>原則、</w:t>
      </w:r>
      <w:r>
        <w:rPr>
          <w:rFonts w:hint="eastAsia"/>
        </w:rPr>
        <w:t>設計図書に記載された数量</w:t>
      </w:r>
      <w:r>
        <w:rPr>
          <w:rFonts w:hint="eastAsia"/>
          <w:sz w:val="22"/>
        </w:rPr>
        <w:t>とする。</w:t>
      </w:r>
    </w:p>
    <w:p>
      <w:pPr>
        <w:pStyle w:val="0"/>
        <w:ind w:left="0" w:leftChars="0" w:firstLine="0" w:firstLineChars="0"/>
        <w:jc w:val="both"/>
        <w:rPr>
          <w:rFonts w:hint="eastAsia"/>
        </w:rPr>
      </w:pPr>
      <w:r>
        <w:rPr>
          <w:rFonts w:hint="eastAsia"/>
          <w:sz w:val="22"/>
        </w:rPr>
        <w:t>（２）</w:t>
      </w:r>
      <w:r>
        <w:rPr>
          <w:rFonts w:hint="eastAsia"/>
        </w:rPr>
        <w:t>一式計上の工種で発注者の設計数量があるものは、発注者の設計数量</w:t>
      </w:r>
      <w:r>
        <w:rPr>
          <w:rFonts w:hint="eastAsia"/>
          <w:sz w:val="22"/>
        </w:rPr>
        <w:t>を対象数量とする。</w:t>
      </w:r>
    </w:p>
    <w:p>
      <w:pPr>
        <w:pStyle w:val="0"/>
        <w:ind w:left="0" w:leftChars="0" w:firstLine="0" w:firstLineChars="0"/>
        <w:jc w:val="both"/>
        <w:rPr>
          <w:rFonts w:hint="eastAsia"/>
        </w:rPr>
      </w:pPr>
      <w:r>
        <w:rPr>
          <w:rFonts w:hint="eastAsia"/>
        </w:rPr>
        <w:t>※上記数量は、</w:t>
      </w:r>
      <w:r>
        <w:rPr>
          <w:rFonts w:hint="eastAsia"/>
          <w:b w:val="1"/>
          <w:u w:val="single" w:color="auto"/>
        </w:rPr>
        <w:t>最終的な変更契約後の数量</w:t>
      </w:r>
      <w:r>
        <w:rPr>
          <w:rFonts w:hint="eastAsia"/>
        </w:rPr>
        <w:t>とする。</w:t>
      </w:r>
    </w:p>
    <w:p>
      <w:pPr>
        <w:pStyle w:val="0"/>
        <w:ind w:left="0" w:leftChars="0" w:hanging="630" w:hangingChars="300"/>
        <w:jc w:val="both"/>
        <w:rPr>
          <w:rFonts w:hint="eastAsia"/>
        </w:rPr>
      </w:pPr>
      <w:r>
        <w:rPr>
          <w:rFonts w:hint="eastAsia"/>
        </w:rPr>
        <w:t>（３）各種資材の搬入のための燃料油で購入量が客観的に確認できるものは、</w:t>
      </w:r>
      <w:r>
        <w:rPr>
          <w:rFonts w:hint="eastAsia"/>
          <w:sz w:val="22"/>
        </w:rPr>
        <w:t>対象数量とすることができる。</w:t>
      </w:r>
    </w:p>
    <w:p>
      <w:pPr>
        <w:pStyle w:val="0"/>
        <w:ind w:left="420" w:leftChars="100" w:hanging="210" w:hangingChars="100"/>
        <w:jc w:val="both"/>
        <w:rPr>
          <w:rFonts w:hint="eastAsia"/>
        </w:rPr>
      </w:pPr>
    </w:p>
    <w:p>
      <w:pPr>
        <w:pStyle w:val="0"/>
        <w:ind w:left="0" w:leftChars="0" w:firstLineChars="0"/>
        <w:jc w:val="both"/>
        <w:rPr>
          <w:rFonts w:hint="eastAsia"/>
          <w:b w:val="1"/>
          <w:color w:val="C00000"/>
          <w:u w:val="single" w:color="auto"/>
          <w:bdr w:val="none" w:color="auto" w:sz="0" w:space="0"/>
        </w:rPr>
      </w:pPr>
      <w:r>
        <w:rPr>
          <w:rFonts w:hint="eastAsia"/>
          <w:b w:val="1"/>
          <w:color w:val="auto"/>
          <w:sz w:val="28"/>
          <w:u w:val="single" w:color="auto"/>
          <w:bdr w:val="none" w:color="auto" w:sz="0" w:space="0"/>
        </w:rPr>
        <w:t>６</w:t>
      </w:r>
      <w:r>
        <w:rPr>
          <w:rFonts w:hint="eastAsia"/>
          <w:b w:val="1"/>
          <w:sz w:val="28"/>
          <w:u w:val="single" w:color="auto"/>
          <w:bdr w:val="none" w:color="auto" w:sz="0" w:space="0"/>
        </w:rPr>
        <w:t>　</w:t>
      </w:r>
      <w:r>
        <w:rPr>
          <w:rFonts w:hint="eastAsia"/>
          <w:b w:val="1"/>
          <w:color w:val="auto"/>
          <w:sz w:val="28"/>
          <w:u w:val="single" w:color="auto"/>
          <w:bdr w:val="none" w:color="auto" w:sz="0" w:space="0"/>
        </w:rPr>
        <w:t>スライド額の計算（増額変更の場合）</w:t>
      </w:r>
    </w:p>
    <w:p>
      <w:pPr>
        <w:pStyle w:val="0"/>
        <w:ind w:left="0" w:leftChars="0" w:firstLine="735" w:firstLineChars="350"/>
        <w:jc w:val="both"/>
        <w:rPr>
          <w:rFonts w:hint="eastAsia"/>
        </w:rPr>
      </w:pPr>
      <w:r>
        <w:rPr>
          <w:rFonts w:hint="eastAsia"/>
        </w:rPr>
        <w:t>【鋼材類】｛搬入月の実勢価格－設計時点での実勢価格｝</w:t>
      </w:r>
    </w:p>
    <w:p>
      <w:pPr>
        <w:pStyle w:val="0"/>
        <w:ind w:left="0" w:leftChars="0" w:firstLine="420" w:firstLineChars="200"/>
        <w:jc w:val="both"/>
        <w:rPr>
          <w:rFonts w:hint="eastAsia"/>
        </w:rPr>
      </w:pPr>
      <w:r>
        <w:rPr>
          <w:rFonts w:hint="eastAsia"/>
        </w:rPr>
        <w:t>＋）【燃料油】｛購入月の実勢価格－設計時点での実勢価格｝</w:t>
      </w:r>
    </w:p>
    <w:p>
      <w:pPr>
        <w:pStyle w:val="0"/>
        <w:ind w:left="0" w:leftChars="0" w:firstLine="420" w:firstLineChars="200"/>
        <w:jc w:val="both"/>
        <w:rPr>
          <w:rFonts w:hint="eastAsia"/>
        </w:rPr>
      </w:pPr>
      <w:r>
        <w:rPr>
          <w:rFonts w:hint="eastAsia"/>
        </w:rPr>
        <w:t>＋）【その他】｛購入月の実勢価格－設計時点での実勢価格｝</w:t>
      </w:r>
    </w:p>
    <w:p>
      <w:pPr>
        <w:pStyle w:val="0"/>
        <w:ind w:left="0" w:leftChars="0" w:firstLine="420" w:firstLineChars="200"/>
        <w:jc w:val="both"/>
        <w:rPr>
          <w:rFonts w:hint="eastAsia"/>
        </w:rPr>
      </w:pPr>
      <w:r>
        <w:rPr>
          <w:rFonts w:hint="eastAsia"/>
        </w:rPr>
        <w:t>－）請負代金額の１％相当額</w:t>
      </w:r>
    </w:p>
    <w:p>
      <w:pPr>
        <w:pStyle w:val="0"/>
        <w:ind w:left="0" w:leftChars="0" w:firstLine="840" w:firstLineChars="400"/>
        <w:jc w:val="both"/>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232410</wp:posOffset>
                </wp:positionH>
                <wp:positionV relativeFrom="paragraph">
                  <wp:posOffset>3175</wp:posOffset>
                </wp:positionV>
                <wp:extent cx="4312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31292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18.3pt,0.25pt" to="357.9pt,0.25pt">
                <v:fill/>
                <v:stroke linestyle="single" endcap="flat" dashstyle="solid" filltype="solid"/>
                <v:textbox style="layout-flow:horizontal;"/>
                <v:imagedata o:title=""/>
                <w10:wrap type="none" anchorx="text" anchory="text"/>
              </v:line>
            </w:pict>
          </mc:Fallback>
        </mc:AlternateContent>
      </w:r>
      <w:r>
        <w:rPr>
          <w:rFonts w:hint="eastAsia"/>
        </w:rPr>
        <w:t>スライド額</w:t>
      </w:r>
    </w:p>
    <w:p>
      <w:pPr>
        <w:pStyle w:val="0"/>
        <w:ind w:left="840" w:leftChars="100" w:hanging="630" w:hangingChars="300"/>
        <w:jc w:val="both"/>
        <w:rPr>
          <w:rFonts w:hint="eastAsia"/>
        </w:rPr>
      </w:pPr>
    </w:p>
    <w:p>
      <w:pPr>
        <w:pStyle w:val="0"/>
        <w:ind w:leftChars="0" w:firstLineChars="0"/>
        <w:jc w:val="both"/>
        <w:rPr>
          <w:rFonts w:hint="eastAsia"/>
        </w:rPr>
      </w:pPr>
      <w:r>
        <w:rPr>
          <w:rFonts w:hint="eastAsia"/>
          <w:b w:val="1"/>
        </w:rPr>
        <w:t>（増額変更の場合の計算例）</w:t>
      </w:r>
      <w:r>
        <w:rPr>
          <w:rFonts w:hint="eastAsia"/>
          <w:b w:val="0"/>
        </w:rPr>
        <w:t>※表示価格は税込み</w:t>
      </w:r>
    </w:p>
    <w:tbl>
      <w:tblPr>
        <w:tblStyle w:val="18"/>
        <w:tblW w:w="0" w:type="auto"/>
        <w:jc w:val="left"/>
        <w:tblInd w:w="180" w:type="dxa"/>
        <w:tblLayout w:type="fixed"/>
        <w:tblLook w:firstRow="1" w:lastRow="0" w:firstColumn="1" w:lastColumn="0" w:noHBand="0" w:noVBand="1" w:val="04A0"/>
      </w:tblPr>
      <w:tblGrid>
        <w:gridCol w:w="948"/>
        <w:gridCol w:w="1260"/>
        <w:gridCol w:w="2125"/>
        <w:gridCol w:w="2310"/>
        <w:gridCol w:w="1470"/>
        <w:gridCol w:w="1260"/>
      </w:tblGrid>
      <w:tr>
        <w:trPr/>
        <w:tc>
          <w:tcPr>
            <w:tcW w:w="2208" w:type="dxa"/>
            <w:gridSpan w:val="2"/>
            <w:vAlign w:val="top"/>
          </w:tcPr>
          <w:p>
            <w:pPr>
              <w:pStyle w:val="0"/>
              <w:rPr>
                <w:rFonts w:hint="eastAsia"/>
              </w:rPr>
            </w:pPr>
            <w:r>
              <w:rPr>
                <w:rFonts w:hint="eastAsia"/>
                <w:b w:val="1"/>
              </w:rPr>
              <w:t>計算例</w:t>
            </w:r>
          </w:p>
        </w:tc>
        <w:tc>
          <w:tcPr>
            <w:tcW w:w="4435" w:type="dxa"/>
            <w:gridSpan w:val="2"/>
            <w:vAlign w:val="top"/>
          </w:tcPr>
          <w:p>
            <w:pPr>
              <w:pStyle w:val="0"/>
              <w:rPr>
                <w:rFonts w:hint="eastAsia"/>
              </w:rPr>
            </w:pPr>
            <w:r>
              <w:rPr>
                <w:rFonts w:hint="eastAsia"/>
              </w:rPr>
              <w:t>請負代金額：</w:t>
            </w:r>
            <w:r>
              <w:rPr>
                <w:rFonts w:hint="eastAsia"/>
              </w:rPr>
              <w:t>\220,000,000</w:t>
            </w:r>
          </w:p>
        </w:tc>
        <w:tc>
          <w:tcPr>
            <w:tcW w:w="2730" w:type="dxa"/>
            <w:gridSpan w:val="2"/>
            <w:vAlign w:val="top"/>
          </w:tcPr>
          <w:p>
            <w:pPr>
              <w:pStyle w:val="0"/>
              <w:rPr>
                <w:rFonts w:hint="eastAsia"/>
              </w:rPr>
            </w:pPr>
            <w:r>
              <w:rPr>
                <w:rFonts w:hint="eastAsia"/>
              </w:rPr>
              <w:t>1</w:t>
            </w:r>
            <w:r>
              <w:rPr>
                <w:rFonts w:hint="eastAsia"/>
              </w:rPr>
              <w:t>％相当額：</w:t>
            </w:r>
            <w:r>
              <w:rPr>
                <w:rFonts w:hint="eastAsia"/>
                <w:color w:val="FF0000"/>
              </w:rPr>
              <w:t>\2,200,000</w:t>
            </w:r>
          </w:p>
        </w:tc>
      </w:tr>
      <w:tr>
        <w:trPr>
          <w:trHeight w:val="360" w:hRule="atLeast"/>
        </w:trPr>
        <w:tc>
          <w:tcPr>
            <w:tcW w:w="9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各品目</w:t>
            </w:r>
          </w:p>
        </w:tc>
        <w:tc>
          <w:tcPr>
            <w:tcW w:w="1260" w:type="dxa"/>
            <w:vAlign w:val="top"/>
          </w:tcPr>
          <w:p>
            <w:pPr>
              <w:pStyle w:val="0"/>
              <w:rPr>
                <w:rFonts w:hint="eastAsia"/>
              </w:rPr>
            </w:pPr>
            <w:r>
              <w:rPr>
                <w:rFonts w:hint="eastAsia"/>
              </w:rPr>
              <w:t>各材料</w:t>
            </w:r>
          </w:p>
        </w:tc>
        <w:tc>
          <w:tcPr>
            <w:tcW w:w="2125" w:type="dxa"/>
            <w:vAlign w:val="top"/>
          </w:tcPr>
          <w:p>
            <w:pPr>
              <w:pStyle w:val="0"/>
              <w:rPr>
                <w:rFonts w:hint="eastAsia"/>
              </w:rPr>
            </w:pPr>
            <w:r>
              <w:rPr>
                <w:rFonts w:hint="eastAsia"/>
              </w:rPr>
              <w:t>設計時の実勢価格</w:t>
            </w:r>
          </w:p>
        </w:tc>
        <w:tc>
          <w:tcPr>
            <w:tcW w:w="2310" w:type="dxa"/>
            <w:vAlign w:val="top"/>
          </w:tcPr>
          <w:p>
            <w:pPr>
              <w:pStyle w:val="0"/>
              <w:rPr>
                <w:rFonts w:hint="eastAsia"/>
              </w:rPr>
            </w:pPr>
            <w:r>
              <w:rPr>
                <w:rFonts w:hint="eastAsia"/>
              </w:rPr>
              <w:t>購入時の実勢価格</w:t>
            </w:r>
          </w:p>
        </w:tc>
        <w:tc>
          <w:tcPr>
            <w:tcW w:w="1470" w:type="dxa"/>
            <w:vAlign w:val="top"/>
          </w:tcPr>
          <w:p>
            <w:pPr>
              <w:pStyle w:val="0"/>
              <w:rPr>
                <w:rFonts w:hint="eastAsia"/>
              </w:rPr>
            </w:pPr>
            <w:r>
              <w:rPr>
                <w:rFonts w:hint="eastAsia"/>
              </w:rPr>
              <w:t>変動額</w:t>
            </w:r>
          </w:p>
        </w:tc>
        <w:tc>
          <w:tcPr>
            <w:tcW w:w="1260" w:type="dxa"/>
            <w:vAlign w:val="top"/>
          </w:tcPr>
          <w:p>
            <w:pPr>
              <w:pStyle w:val="0"/>
              <w:rPr>
                <w:rFonts w:hint="eastAsia"/>
              </w:rPr>
            </w:pPr>
            <w:r>
              <w:rPr>
                <w:rFonts w:hint="eastAsia"/>
              </w:rPr>
              <w:t>判定</w:t>
            </w:r>
          </w:p>
        </w:tc>
      </w:tr>
      <w:tr>
        <w:trPr>
          <w:trHeight w:val="360" w:hRule="atLeast"/>
        </w:trPr>
        <w:tc>
          <w:tcPr>
            <w:tcW w:w="94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燃料油</w:t>
            </w:r>
          </w:p>
        </w:tc>
        <w:tc>
          <w:tcPr>
            <w:tcW w:w="1260" w:type="dxa"/>
            <w:vAlign w:val="top"/>
          </w:tcPr>
          <w:p>
            <w:pPr>
              <w:pStyle w:val="0"/>
              <w:rPr>
                <w:rFonts w:hint="eastAsia"/>
              </w:rPr>
            </w:pPr>
            <w:r>
              <w:rPr>
                <w:rFonts w:hint="eastAsia"/>
              </w:rPr>
              <w:t>軽油</w:t>
            </w:r>
          </w:p>
        </w:tc>
        <w:tc>
          <w:tcPr>
            <w:tcW w:w="2125" w:type="dxa"/>
            <w:vAlign w:val="top"/>
          </w:tcPr>
          <w:p>
            <w:pPr>
              <w:pStyle w:val="0"/>
              <w:jc w:val="right"/>
              <w:rPr>
                <w:rFonts w:hint="eastAsia"/>
              </w:rPr>
            </w:pPr>
            <w:r>
              <w:rPr>
                <w:rFonts w:hint="eastAsia"/>
              </w:rPr>
              <w:t>1,000,000</w:t>
            </w:r>
          </w:p>
        </w:tc>
        <w:tc>
          <w:tcPr>
            <w:tcW w:w="2310" w:type="dxa"/>
            <w:vAlign w:val="top"/>
          </w:tcPr>
          <w:p>
            <w:pPr>
              <w:pStyle w:val="0"/>
              <w:jc w:val="right"/>
              <w:rPr>
                <w:rFonts w:hint="eastAsia"/>
              </w:rPr>
            </w:pPr>
            <w:r>
              <w:rPr>
                <w:rFonts w:hint="eastAsia"/>
              </w:rPr>
              <w:t>1,200,000</w:t>
            </w:r>
          </w:p>
        </w:tc>
        <w:tc>
          <w:tcPr>
            <w:tcW w:w="1470" w:type="dxa"/>
            <w:vAlign w:val="top"/>
          </w:tcPr>
          <w:p>
            <w:pPr>
              <w:pStyle w:val="0"/>
              <w:jc w:val="right"/>
              <w:rPr>
                <w:rFonts w:hint="eastAsia"/>
              </w:rPr>
            </w:pPr>
            <w:r>
              <w:rPr>
                <w:rFonts w:hint="eastAsia"/>
              </w:rPr>
              <w:t>200,000</w:t>
            </w:r>
          </w:p>
        </w:tc>
        <w:tc>
          <w:tcPr>
            <w:tcW w:w="1260" w:type="dxa"/>
            <w:vMerge w:val="restart"/>
            <w:vAlign w:val="center"/>
          </w:tcPr>
          <w:p>
            <w:pPr>
              <w:pStyle w:val="0"/>
              <w:jc w:val="center"/>
              <w:rPr>
                <w:rFonts w:hint="eastAsia"/>
              </w:rPr>
            </w:pPr>
            <w:r>
              <w:rPr>
                <w:rFonts w:hint="eastAsia"/>
                <w:b w:val="1"/>
                <w:color w:val="1F497D" w:themeColor="text2"/>
                <w:sz w:val="36"/>
              </w:rPr>
              <w:t>×</w:t>
            </w:r>
          </w:p>
        </w:tc>
      </w:tr>
      <w:tr>
        <w:trPr/>
        <w:tc>
          <w:tcPr>
            <w:tcW w:w="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Align w:val="top"/>
          </w:tcPr>
          <w:p>
            <w:pPr>
              <w:pStyle w:val="0"/>
              <w:rPr>
                <w:rFonts w:hint="eastAsia"/>
              </w:rPr>
            </w:pPr>
            <w:r>
              <w:rPr>
                <w:rFonts w:hint="eastAsia"/>
              </w:rPr>
              <w:t>ガソリン</w:t>
            </w:r>
          </w:p>
        </w:tc>
        <w:tc>
          <w:tcPr>
            <w:tcW w:w="2125" w:type="dxa"/>
            <w:vAlign w:val="top"/>
          </w:tcPr>
          <w:p>
            <w:pPr>
              <w:pStyle w:val="0"/>
              <w:jc w:val="right"/>
              <w:rPr>
                <w:rFonts w:hint="eastAsia"/>
              </w:rPr>
            </w:pPr>
            <w:r>
              <w:rPr>
                <w:rFonts w:hint="eastAsia"/>
              </w:rPr>
              <w:t>500,000</w:t>
            </w:r>
          </w:p>
        </w:tc>
        <w:tc>
          <w:tcPr>
            <w:tcW w:w="2310" w:type="dxa"/>
            <w:vAlign w:val="top"/>
          </w:tcPr>
          <w:p>
            <w:pPr>
              <w:pStyle w:val="0"/>
              <w:jc w:val="right"/>
              <w:rPr>
                <w:rFonts w:hint="eastAsia"/>
              </w:rPr>
            </w:pPr>
            <w:r>
              <w:rPr>
                <w:rFonts w:hint="eastAsia"/>
              </w:rPr>
              <w:t>600,000</w:t>
            </w:r>
          </w:p>
        </w:tc>
        <w:tc>
          <w:tcPr>
            <w:tcW w:w="1470" w:type="dxa"/>
            <w:vAlign w:val="top"/>
          </w:tcPr>
          <w:p>
            <w:pPr>
              <w:pStyle w:val="0"/>
              <w:jc w:val="right"/>
              <w:rPr>
                <w:rFonts w:hint="eastAsia"/>
              </w:rPr>
            </w:pPr>
            <w:r>
              <w:rPr>
                <w:rFonts w:hint="eastAsia"/>
              </w:rPr>
              <w:t>100,000</w:t>
            </w:r>
          </w:p>
        </w:tc>
        <w:tc>
          <w:tcPr>
            <w:tcW w:w="1260" w:type="dxa"/>
            <w:vMerge w:val="continue"/>
            <w:vAlign w:val="center"/>
          </w:tcPr>
          <w:p>
            <w:pPr>
              <w:pStyle w:val="0"/>
              <w:rPr>
                <w:rFonts w:hint="eastAsia"/>
              </w:rPr>
            </w:pPr>
          </w:p>
        </w:tc>
      </w:tr>
      <w:tr>
        <w:trPr>
          <w:trHeight w:val="320" w:hRule="atLeast"/>
        </w:trPr>
        <w:tc>
          <w:tcPr>
            <w:tcW w:w="9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Align w:val="top"/>
          </w:tcPr>
          <w:p>
            <w:pPr>
              <w:pStyle w:val="0"/>
              <w:rPr>
                <w:rFonts w:hint="eastAsia"/>
              </w:rPr>
            </w:pPr>
            <w:r>
              <w:rPr>
                <w:rFonts w:hint="eastAsia"/>
              </w:rPr>
              <w:t>合計</w:t>
            </w:r>
          </w:p>
        </w:tc>
        <w:tc>
          <w:tcPr>
            <w:tcW w:w="2125" w:type="dxa"/>
            <w:vAlign w:val="top"/>
          </w:tcPr>
          <w:p>
            <w:pPr>
              <w:pStyle w:val="0"/>
              <w:jc w:val="right"/>
              <w:rPr>
                <w:rFonts w:hint="eastAsia"/>
              </w:rPr>
            </w:pPr>
            <w:r>
              <w:rPr>
                <w:rFonts w:hint="eastAsia"/>
              </w:rPr>
              <w:t>1,500,000</w:t>
            </w:r>
          </w:p>
        </w:tc>
        <w:tc>
          <w:tcPr>
            <w:tcW w:w="2310" w:type="dxa"/>
            <w:vAlign w:val="top"/>
          </w:tcPr>
          <w:p>
            <w:pPr>
              <w:pStyle w:val="0"/>
              <w:jc w:val="right"/>
              <w:rPr>
                <w:rFonts w:hint="eastAsia"/>
              </w:rPr>
            </w:pPr>
            <w:r>
              <w:rPr>
                <w:rFonts w:hint="eastAsia"/>
              </w:rPr>
              <w:t>1,800,000</w:t>
            </w:r>
          </w:p>
        </w:tc>
        <w:tc>
          <w:tcPr>
            <w:tcW w:w="1470" w:type="dxa"/>
            <w:vAlign w:val="top"/>
          </w:tcPr>
          <w:p>
            <w:pPr>
              <w:pStyle w:val="0"/>
              <w:jc w:val="right"/>
              <w:rPr>
                <w:rFonts w:hint="eastAsia"/>
              </w:rPr>
            </w:pPr>
            <w:r>
              <w:rPr>
                <w:rFonts w:hint="eastAsia"/>
                <w:color w:val="1F497D" w:themeColor="text2"/>
              </w:rPr>
              <w:t>300,000</w:t>
            </w:r>
          </w:p>
        </w:tc>
        <w:tc>
          <w:tcPr>
            <w:tcW w:w="1260" w:type="dxa"/>
            <w:vMerge w:val="continue"/>
            <w:vAlign w:val="center"/>
          </w:tcPr>
          <w:p>
            <w:pPr>
              <w:pStyle w:val="0"/>
              <w:rPr>
                <w:rFonts w:hint="eastAsia"/>
              </w:rPr>
            </w:pPr>
          </w:p>
        </w:tc>
      </w:tr>
      <w:tr>
        <w:trPr>
          <w:trHeight w:val="360" w:hRule="atLeast"/>
        </w:trPr>
        <w:tc>
          <w:tcPr>
            <w:tcW w:w="948" w:type="dxa"/>
            <w:vMerge w:val="restart"/>
            <w:vAlign w:val="top"/>
          </w:tcPr>
          <w:p>
            <w:pPr>
              <w:pStyle w:val="0"/>
              <w:rPr>
                <w:rFonts w:hint="eastAsia"/>
              </w:rPr>
            </w:pPr>
            <w:r>
              <w:rPr>
                <w:rFonts w:hint="eastAsia"/>
              </w:rPr>
              <w:t>鋼材類</w:t>
            </w:r>
          </w:p>
        </w:tc>
        <w:tc>
          <w:tcPr>
            <w:tcW w:w="1260" w:type="dxa"/>
            <w:vAlign w:val="top"/>
          </w:tcPr>
          <w:p>
            <w:pPr>
              <w:pStyle w:val="0"/>
              <w:rPr>
                <w:rFonts w:hint="eastAsia"/>
              </w:rPr>
            </w:pPr>
            <w:r>
              <w:rPr>
                <w:rFonts w:hint="eastAsia"/>
              </w:rPr>
              <w:t>異形棒鋼</w:t>
            </w:r>
          </w:p>
        </w:tc>
        <w:tc>
          <w:tcPr>
            <w:tcW w:w="2125" w:type="dxa"/>
            <w:vAlign w:val="top"/>
          </w:tcPr>
          <w:p>
            <w:pPr>
              <w:pStyle w:val="0"/>
              <w:jc w:val="right"/>
              <w:rPr>
                <w:rFonts w:hint="eastAsia"/>
              </w:rPr>
            </w:pPr>
            <w:r>
              <w:rPr>
                <w:rFonts w:hint="eastAsia"/>
              </w:rPr>
              <w:t>5,000,000</w:t>
            </w:r>
          </w:p>
        </w:tc>
        <w:tc>
          <w:tcPr>
            <w:tcW w:w="2310" w:type="dxa"/>
            <w:vAlign w:val="top"/>
          </w:tcPr>
          <w:p>
            <w:pPr>
              <w:pStyle w:val="0"/>
              <w:jc w:val="right"/>
              <w:rPr>
                <w:rFonts w:hint="eastAsia"/>
              </w:rPr>
            </w:pPr>
            <w:r>
              <w:rPr>
                <w:rFonts w:hint="eastAsia"/>
              </w:rPr>
              <w:t>7,500,000</w:t>
            </w:r>
          </w:p>
        </w:tc>
        <w:tc>
          <w:tcPr>
            <w:tcW w:w="1470" w:type="dxa"/>
            <w:vAlign w:val="top"/>
          </w:tcPr>
          <w:p>
            <w:pPr>
              <w:pStyle w:val="0"/>
              <w:jc w:val="right"/>
              <w:rPr>
                <w:rFonts w:hint="eastAsia"/>
              </w:rPr>
            </w:pPr>
            <w:r>
              <w:rPr>
                <w:rFonts w:hint="eastAsia"/>
              </w:rPr>
              <w:t>2,500,000</w:t>
            </w:r>
          </w:p>
        </w:tc>
        <w:tc>
          <w:tcPr>
            <w:tcW w:w="1260" w:type="dxa"/>
            <w:vMerge w:val="restart"/>
            <w:vAlign w:val="center"/>
          </w:tcPr>
          <w:p>
            <w:pPr>
              <w:pStyle w:val="0"/>
              <w:jc w:val="center"/>
              <w:rPr>
                <w:rFonts w:hint="eastAsia"/>
                <w:b w:val="1"/>
              </w:rPr>
            </w:pPr>
            <w:r>
              <w:rPr>
                <w:rFonts w:hint="eastAsia"/>
                <w:b w:val="1"/>
                <w:color w:val="FF0000"/>
                <w:sz w:val="32"/>
              </w:rPr>
              <w:t>○</w:t>
            </w:r>
          </w:p>
        </w:tc>
      </w:tr>
      <w:tr>
        <w:trPr/>
        <w:tc>
          <w:tcPr>
            <w:tcW w:w="948" w:type="dxa"/>
            <w:vMerge w:val="continue"/>
            <w:vAlign w:val="top"/>
          </w:tcPr>
          <w:p>
            <w:pPr>
              <w:pStyle w:val="0"/>
              <w:rPr>
                <w:rFonts w:hint="eastAsia"/>
              </w:rPr>
            </w:pPr>
          </w:p>
        </w:tc>
        <w:tc>
          <w:tcPr>
            <w:tcW w:w="1260" w:type="dxa"/>
            <w:vAlign w:val="top"/>
          </w:tcPr>
          <w:p>
            <w:pPr>
              <w:pStyle w:val="0"/>
              <w:rPr>
                <w:rFonts w:hint="eastAsia"/>
              </w:rPr>
            </w:pPr>
            <w:r>
              <w:rPr>
                <w:rFonts w:hint="eastAsia"/>
              </w:rPr>
              <w:t>H</w:t>
            </w:r>
            <w:r>
              <w:rPr>
                <w:rFonts w:hint="eastAsia"/>
              </w:rPr>
              <w:t>形鋼</w:t>
            </w:r>
          </w:p>
        </w:tc>
        <w:tc>
          <w:tcPr>
            <w:tcW w:w="2125" w:type="dxa"/>
            <w:vAlign w:val="top"/>
          </w:tcPr>
          <w:p>
            <w:pPr>
              <w:pStyle w:val="0"/>
              <w:jc w:val="right"/>
              <w:rPr>
                <w:rFonts w:hint="eastAsia"/>
              </w:rPr>
            </w:pPr>
            <w:r>
              <w:rPr>
                <w:rFonts w:hint="eastAsia"/>
              </w:rPr>
              <w:t>1,000,000</w:t>
            </w:r>
          </w:p>
        </w:tc>
        <w:tc>
          <w:tcPr>
            <w:tcW w:w="2310" w:type="dxa"/>
            <w:vAlign w:val="top"/>
          </w:tcPr>
          <w:p>
            <w:pPr>
              <w:pStyle w:val="0"/>
              <w:jc w:val="right"/>
              <w:rPr>
                <w:rFonts w:hint="eastAsia"/>
              </w:rPr>
            </w:pPr>
            <w:r>
              <w:rPr>
                <w:rFonts w:hint="eastAsia"/>
              </w:rPr>
              <w:t>1,400,000</w:t>
            </w:r>
          </w:p>
        </w:tc>
        <w:tc>
          <w:tcPr>
            <w:tcW w:w="1470" w:type="dxa"/>
            <w:vAlign w:val="top"/>
          </w:tcPr>
          <w:p>
            <w:pPr>
              <w:pStyle w:val="0"/>
              <w:jc w:val="right"/>
              <w:rPr>
                <w:rFonts w:hint="eastAsia"/>
              </w:rPr>
            </w:pPr>
            <w:r>
              <w:rPr>
                <w:rFonts w:hint="eastAsia"/>
              </w:rPr>
              <w:t>400,000</w:t>
            </w:r>
          </w:p>
        </w:tc>
        <w:tc>
          <w:tcPr>
            <w:tcW w:w="1260" w:type="dxa"/>
            <w:vMerge w:val="continue"/>
            <w:vAlign w:val="center"/>
          </w:tcPr>
          <w:p>
            <w:pPr>
              <w:pStyle w:val="0"/>
              <w:rPr>
                <w:rFonts w:hint="eastAsia"/>
              </w:rPr>
            </w:pPr>
          </w:p>
        </w:tc>
      </w:tr>
      <w:tr>
        <w:trPr/>
        <w:tc>
          <w:tcPr>
            <w:tcW w:w="948" w:type="dxa"/>
            <w:vMerge w:val="continue"/>
            <w:vAlign w:val="top"/>
          </w:tcPr>
          <w:p>
            <w:pPr>
              <w:pStyle w:val="0"/>
              <w:rPr>
                <w:rFonts w:hint="eastAsia"/>
              </w:rPr>
            </w:pPr>
          </w:p>
        </w:tc>
        <w:tc>
          <w:tcPr>
            <w:tcW w:w="1260" w:type="dxa"/>
            <w:vAlign w:val="top"/>
          </w:tcPr>
          <w:p>
            <w:pPr>
              <w:pStyle w:val="0"/>
              <w:rPr>
                <w:rFonts w:hint="eastAsia"/>
              </w:rPr>
            </w:pPr>
            <w:r>
              <w:rPr>
                <w:rFonts w:hint="eastAsia"/>
              </w:rPr>
              <w:t>合計</w:t>
            </w:r>
          </w:p>
        </w:tc>
        <w:tc>
          <w:tcPr>
            <w:tcW w:w="2125" w:type="dxa"/>
            <w:vAlign w:val="top"/>
          </w:tcPr>
          <w:p>
            <w:pPr>
              <w:pStyle w:val="0"/>
              <w:jc w:val="right"/>
              <w:rPr>
                <w:rFonts w:hint="eastAsia"/>
              </w:rPr>
            </w:pPr>
            <w:r>
              <w:rPr>
                <w:rFonts w:hint="eastAsia"/>
              </w:rPr>
              <w:t>6,000,000</w:t>
            </w:r>
          </w:p>
        </w:tc>
        <w:tc>
          <w:tcPr>
            <w:tcW w:w="2310" w:type="dxa"/>
            <w:vAlign w:val="top"/>
          </w:tcPr>
          <w:p>
            <w:pPr>
              <w:pStyle w:val="0"/>
              <w:jc w:val="right"/>
              <w:rPr>
                <w:rFonts w:hint="eastAsia"/>
              </w:rPr>
            </w:pPr>
            <w:r>
              <w:rPr>
                <w:rFonts w:hint="eastAsia"/>
              </w:rPr>
              <w:t>8,900,000</w:t>
            </w:r>
          </w:p>
        </w:tc>
        <w:tc>
          <w:tcPr>
            <w:tcW w:w="1470" w:type="dxa"/>
            <w:vAlign w:val="top"/>
          </w:tcPr>
          <w:p>
            <w:pPr>
              <w:pStyle w:val="0"/>
              <w:jc w:val="right"/>
              <w:rPr>
                <w:rFonts w:hint="eastAsia"/>
              </w:rPr>
            </w:pPr>
            <w:r>
              <w:rPr>
                <w:rFonts w:hint="eastAsia"/>
                <w:color w:val="FF0000"/>
              </w:rPr>
              <w:t>2,900,000</w:t>
            </w:r>
          </w:p>
        </w:tc>
        <w:tc>
          <w:tcPr>
            <w:tcW w:w="1260" w:type="dxa"/>
            <w:vMerge w:val="continue"/>
            <w:vAlign w:val="center"/>
          </w:tcPr>
          <w:p>
            <w:pPr>
              <w:pStyle w:val="0"/>
              <w:rPr>
                <w:rFonts w:hint="eastAsia"/>
              </w:rPr>
            </w:pPr>
          </w:p>
        </w:tc>
      </w:tr>
      <w:tr>
        <w:trPr/>
        <w:tc>
          <w:tcPr>
            <w:tcW w:w="9373" w:type="dxa"/>
            <w:gridSpan w:val="6"/>
            <w:vAlign w:val="top"/>
          </w:tcPr>
          <w:p>
            <w:pPr>
              <w:pStyle w:val="0"/>
              <w:rPr>
                <w:rFonts w:hint="eastAsia"/>
              </w:rPr>
            </w:pPr>
            <w:r>
              <w:rPr>
                <w:rFonts w:hint="eastAsia"/>
                <w:color w:val="FF0000"/>
                <w:u w:val="single" w:color="auto"/>
              </w:rPr>
              <w:t>スライド額</w:t>
            </w:r>
            <w:r>
              <w:rPr>
                <w:rFonts w:hint="eastAsia"/>
                <w:color w:val="auto"/>
                <w:u w:val="single" w:color="auto"/>
              </w:rPr>
              <w:t>　</w:t>
            </w:r>
            <w:r>
              <w:rPr>
                <w:rFonts w:hint="eastAsia"/>
                <w:u w:val="single" w:color="auto"/>
              </w:rPr>
              <w:t>=</w:t>
            </w:r>
            <w:r>
              <w:rPr>
                <w:rFonts w:hint="eastAsia"/>
                <w:u w:val="single" w:color="auto"/>
              </w:rPr>
              <w:t>　</w:t>
            </w:r>
            <w:r>
              <w:rPr>
                <w:rFonts w:hint="eastAsia"/>
                <w:u w:val="single" w:color="auto"/>
              </w:rPr>
              <w:t>2,900,000</w:t>
            </w:r>
            <w:r>
              <w:rPr>
                <w:rFonts w:hint="eastAsia"/>
                <w:u w:val="single" w:color="auto"/>
              </w:rPr>
              <w:t>　－　</w:t>
            </w:r>
            <w:r>
              <w:rPr>
                <w:rFonts w:hint="eastAsia"/>
                <w:u w:val="single" w:color="auto"/>
              </w:rPr>
              <w:t>2,200,000</w:t>
            </w:r>
            <w:r>
              <w:rPr>
                <w:rFonts w:hint="eastAsia"/>
                <w:u w:val="single" w:color="auto"/>
              </w:rPr>
              <w:t>　</w:t>
            </w:r>
            <w:r>
              <w:rPr>
                <w:rFonts w:hint="eastAsia"/>
                <w:u w:val="single" w:color="auto"/>
              </w:rPr>
              <w:t>=</w:t>
            </w:r>
            <w:r>
              <w:rPr>
                <w:rFonts w:hint="eastAsia"/>
                <w:u w:val="single" w:color="auto"/>
              </w:rPr>
              <w:t>　</w:t>
            </w:r>
            <w:r>
              <w:rPr>
                <w:rFonts w:hint="eastAsia"/>
                <w:color w:val="FF0000"/>
                <w:u w:val="single" w:color="auto"/>
              </w:rPr>
              <w:t>\700,000</w:t>
            </w:r>
          </w:p>
        </w:tc>
      </w:tr>
    </w:tbl>
    <w:p>
      <w:pPr>
        <w:pStyle w:val="0"/>
        <w:ind w:left="420" w:leftChars="100" w:hanging="210" w:hangingChars="100"/>
        <w:jc w:val="both"/>
        <w:rPr>
          <w:rFonts w:hint="eastAsia"/>
        </w:rPr>
      </w:pPr>
    </w:p>
    <w:p>
      <w:pPr>
        <w:pStyle w:val="0"/>
        <w:ind w:left="420" w:leftChars="100" w:hanging="210" w:hangingChars="100"/>
        <w:jc w:val="both"/>
        <w:rPr>
          <w:rFonts w:hint="eastAsia"/>
        </w:rPr>
      </w:pPr>
      <w:r>
        <w:rPr>
          <w:rFonts w:hint="eastAsia"/>
        </w:rPr>
        <w:t>※受注者が実際に購入した際の金額が実勢価格で計算した額よりも低い場合は、実際の購入価格を用いて計算する。</w:t>
      </w:r>
    </w:p>
    <w:p>
      <w:pPr>
        <w:pStyle w:val="0"/>
        <w:ind w:left="420" w:leftChars="100" w:hanging="210" w:hangingChars="100"/>
        <w:jc w:val="both"/>
        <w:rPr>
          <w:rFonts w:hint="eastAsia"/>
        </w:rPr>
      </w:pPr>
      <w:r>
        <w:rPr>
          <w:rFonts w:hint="eastAsia"/>
          <w:b w:val="1"/>
        </w:rPr>
        <w:t>※「実際の購入価格」が適当な金額であることを証明する書類を提出した場合は、「実際の購入価格」の方が実勢価格より高い場合であっても、「実際の購入価格」を用いて請負代金額を変更することができる。</w:t>
      </w:r>
    </w:p>
    <w:p>
      <w:pPr>
        <w:pStyle w:val="0"/>
        <w:ind w:left="420" w:leftChars="100" w:hanging="210" w:hangingChars="100"/>
        <w:jc w:val="both"/>
        <w:rPr>
          <w:rFonts w:hint="eastAsia"/>
          <w:highlight w:val="none"/>
        </w:rPr>
      </w:pPr>
      <w:r>
        <w:rPr>
          <w:rFonts w:hint="eastAsia"/>
          <w:highlight w:val="none"/>
        </w:rPr>
        <w:t>※</w:t>
      </w:r>
      <w:r>
        <w:rPr>
          <w:rFonts w:hint="eastAsia"/>
        </w:rPr>
        <w:t>実勢価格で計算する際は、</w:t>
      </w:r>
      <w:r>
        <w:rPr>
          <w:rFonts w:hint="eastAsia"/>
          <w:highlight w:val="none"/>
        </w:rPr>
        <w:t>落札率（請負比率）を乗じて計算する。</w:t>
      </w:r>
    </w:p>
    <w:p>
      <w:pPr>
        <w:pStyle w:val="0"/>
        <w:ind w:left="0" w:leftChars="0" w:firstLineChars="0"/>
        <w:jc w:val="both"/>
        <w:rPr>
          <w:rFonts w:hint="eastAsia"/>
        </w:rPr>
      </w:pPr>
    </w:p>
    <w:p>
      <w:pPr>
        <w:pStyle w:val="0"/>
        <w:ind w:left="0" w:leftChars="0" w:firstLineChars="0"/>
        <w:jc w:val="both"/>
        <w:rPr>
          <w:rFonts w:hint="eastAsia"/>
          <w:b w:val="1"/>
          <w:u w:val="single" w:color="auto"/>
          <w:bdr w:val="none" w:color="auto" w:sz="0" w:space="0"/>
        </w:rPr>
      </w:pPr>
      <w:r>
        <w:rPr>
          <w:rFonts w:hint="eastAsia"/>
          <w:b w:val="1"/>
          <w:sz w:val="28"/>
          <w:u w:val="single" w:color="auto"/>
          <w:bdr w:val="none" w:color="auto" w:sz="0" w:space="0"/>
        </w:rPr>
        <w:t>７　その他</w:t>
      </w:r>
    </w:p>
    <w:p>
      <w:pPr>
        <w:pStyle w:val="0"/>
        <w:ind w:left="0" w:leftChars="0" w:hanging="630" w:hangingChars="300"/>
        <w:jc w:val="both"/>
        <w:rPr>
          <w:rFonts w:hint="eastAsia"/>
        </w:rPr>
      </w:pPr>
      <w:r>
        <w:rPr>
          <w:rFonts w:hint="eastAsia"/>
        </w:rPr>
        <w:t>（１）スライド額の算定は、主要な工事材料に係る変動分について行うものであり、材料費の変動に連動して共通仮設費、現場管理費及び一般管理費等の変更を行うものではない。</w:t>
      </w:r>
    </w:p>
    <w:p>
      <w:pPr>
        <w:pStyle w:val="0"/>
        <w:ind w:left="0" w:leftChars="0" w:hanging="630" w:hangingChars="300"/>
        <w:jc w:val="both"/>
        <w:rPr>
          <w:rFonts w:hint="eastAsia"/>
        </w:rPr>
      </w:pPr>
      <w:r>
        <w:rPr>
          <w:rFonts w:hint="eastAsia"/>
        </w:rPr>
        <w:t>（２）その他詳細については、国土交通省発出の「工事請負契約書第２６条第５項（単品スライド条項）運用マニュアル（案）」に準じるものとする。</w:t>
      </w:r>
    </w:p>
    <w:sectPr>
      <w:footerReference r:id="rId5" w:type="default"/>
      <w:pgSz w:w="11906" w:h="16838"/>
      <w:pgMar w:top="1417" w:right="1417" w:bottom="1134" w:left="1417" w:header="851" w:footer="56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ptab w:alignment="center" w:relativeTo="margin" w:leader="none"/>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w:t>
    </w:r>
    <w:r>
      <w:rPr>
        <w:rFonts w:hint="eastAsia"/>
      </w:rPr>
      <w:fldChar w:fldCharType="begin"/>
    </w:r>
    <w:r>
      <w:rPr>
        <w:rFonts w:hint="eastAsia"/>
      </w:rPr>
      <w:instrText xml:space="preserve">NUMPAGES \* MERGEFORMAT </w:instrText>
    </w:r>
    <w:r>
      <w:rPr>
        <w:rFonts w:hint="eastAsia"/>
      </w:rPr>
      <w:fldChar w:fldCharType="separate"/>
    </w:r>
    <w:r>
      <w:rPr>
        <w:rFonts w:hint="eastAsia"/>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3</Pages>
  <Words>65</Words>
  <Characters>2144</Characters>
  <Application>JUST Note</Application>
  <Lines>823</Lines>
  <Paragraphs>94</Paragraphs>
  <CharactersWithSpaces>2163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成毛　昂平</dc:creator>
  <cp:lastModifiedBy>成毛　昂平</cp:lastModifiedBy>
  <cp:lastPrinted>2022-08-29T00:45:16Z</cp:lastPrinted>
  <dcterms:created xsi:type="dcterms:W3CDTF">2022-08-16T07:54:00Z</dcterms:created>
  <dcterms:modified xsi:type="dcterms:W3CDTF">2022-09-05T07:47:37Z</dcterms:modified>
  <cp:revision>33</cp:revision>
</cp:coreProperties>
</file>