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60" w:leftChars="-67" w:firstLine="138" w:firstLineChars="58"/>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様式第２号（第４条関係）</w:t>
      </w:r>
    </w:p>
    <w:p>
      <w:pPr>
        <w:pStyle w:val="0"/>
        <w:ind w:left="-160" w:leftChars="-67" w:firstLine="138" w:firstLineChars="58"/>
        <w:rPr>
          <w:rFonts w:hint="eastAsia" w:asciiTheme="minorEastAsia" w:hAnsiTheme="minorEastAsia" w:eastAsiaTheme="minorEastAsia"/>
          <w:snapToGrid w:val="0"/>
          <w:color w:val="000000" w:themeColor="text1"/>
          <w:kern w:val="0"/>
          <w:sz w:val="24"/>
          <w:highlight w:val="none"/>
          <w:u w:val="none" w:color="auto"/>
        </w:rPr>
      </w:pPr>
    </w:p>
    <w:p>
      <w:pPr>
        <w:pStyle w:val="0"/>
        <w:jc w:val="center"/>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spacing w:val="119"/>
          <w:kern w:val="0"/>
          <w:sz w:val="24"/>
          <w:highlight w:val="none"/>
          <w:u w:val="none" w:color="auto"/>
          <w:fitText w:val="2158" w:id="1"/>
        </w:rPr>
        <w:t>利用同意</w:t>
      </w:r>
      <w:r>
        <w:rPr>
          <w:rFonts w:hint="eastAsia" w:asciiTheme="minorEastAsia" w:hAnsiTheme="minorEastAsia" w:eastAsiaTheme="minorEastAsia"/>
          <w:snapToGrid w:val="0"/>
          <w:color w:val="000000" w:themeColor="text1"/>
          <w:spacing w:val="3"/>
          <w:kern w:val="0"/>
          <w:sz w:val="24"/>
          <w:highlight w:val="none"/>
          <w:u w:val="none" w:color="auto"/>
          <w:fitText w:val="2158" w:id="1"/>
        </w:rPr>
        <w:t>書</w:t>
      </w:r>
    </w:p>
    <w:p>
      <w:pPr>
        <w:pStyle w:val="0"/>
        <w:ind w:right="180"/>
        <w:jc w:val="right"/>
        <w:rPr>
          <w:rFonts w:hint="eastAsia" w:asciiTheme="minorEastAsia" w:hAnsiTheme="minorEastAsia" w:eastAsiaTheme="minorEastAsia"/>
          <w:snapToGrid w:val="0"/>
          <w:color w:val="000000" w:themeColor="text1"/>
          <w:kern w:val="0"/>
          <w:sz w:val="24"/>
          <w:highlight w:val="none"/>
          <w:u w:val="none" w:color="auto"/>
        </w:rPr>
      </w:pPr>
    </w:p>
    <w:p>
      <w:pPr>
        <w:pStyle w:val="0"/>
        <w:ind w:right="180"/>
        <w:jc w:val="righ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年　　月　　日</w:t>
      </w:r>
    </w:p>
    <w:p>
      <w:pPr>
        <w:pStyle w:val="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神栖市長　　　　　様</w:t>
      </w:r>
    </w:p>
    <w:p>
      <w:pPr>
        <w:pStyle w:val="0"/>
        <w:jc w:val="left"/>
        <w:rPr>
          <w:rFonts w:hint="eastAsia" w:asciiTheme="minorEastAsia" w:hAnsiTheme="minorEastAsia" w:eastAsiaTheme="minorEastAsia"/>
          <w:snapToGrid w:val="0"/>
          <w:color w:val="000000" w:themeColor="text1"/>
          <w:kern w:val="0"/>
          <w:sz w:val="24"/>
          <w:highlight w:val="none"/>
          <w:u w:val="none" w:color="auto"/>
        </w:rPr>
      </w:pPr>
    </w:p>
    <w:p>
      <w:pPr>
        <w:pStyle w:val="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w:t>
      </w:r>
      <w:r>
        <w:rPr>
          <w:rFonts w:hint="eastAsia" w:asciiTheme="minorEastAsia" w:hAnsiTheme="minorEastAsia" w:eastAsiaTheme="minorEastAsia"/>
          <w:strike w:val="0"/>
          <w:dstrike w:val="0"/>
          <w:snapToGrid w:val="0"/>
          <w:color w:val="000000" w:themeColor="text1"/>
          <w:kern w:val="0"/>
          <w:sz w:val="24"/>
          <w:highlight w:val="none"/>
          <w:u w:val="none" w:color="auto"/>
        </w:rPr>
        <w:t>申請者　</w:t>
      </w:r>
      <w:r>
        <w:rPr>
          <w:rFonts w:hint="eastAsia" w:asciiTheme="minorEastAsia" w:hAnsiTheme="minorEastAsia" w:eastAsiaTheme="minorEastAsia"/>
          <w:snapToGrid w:val="0"/>
          <w:color w:val="000000" w:themeColor="text1"/>
          <w:kern w:val="0"/>
          <w:sz w:val="24"/>
          <w:highlight w:val="none"/>
          <w:u w:val="none" w:color="auto"/>
        </w:rPr>
        <w:t>氏名</w:t>
      </w:r>
    </w:p>
    <w:p>
      <w:pPr>
        <w:pStyle w:val="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w:t>
      </w:r>
      <w:r>
        <w:rPr>
          <w:rFonts w:hint="eastAsia" w:asciiTheme="minorEastAsia" w:hAnsiTheme="minorEastAsia" w:eastAsiaTheme="minorEastAsia"/>
          <w:strike w:val="0"/>
          <w:dstrike w:val="0"/>
          <w:snapToGrid w:val="0"/>
          <w:color w:val="000000" w:themeColor="text1"/>
          <w:kern w:val="0"/>
          <w:sz w:val="24"/>
          <w:highlight w:val="none"/>
          <w:u w:val="none" w:color="auto"/>
        </w:rPr>
        <w:t>対象者（認知症高齢者等）</w:t>
      </w:r>
      <w:r>
        <w:rPr>
          <w:rFonts w:hint="eastAsia" w:asciiTheme="minorEastAsia" w:hAnsiTheme="minorEastAsia" w:eastAsiaTheme="minorEastAsia"/>
          <w:snapToGrid w:val="0"/>
          <w:color w:val="000000" w:themeColor="text1"/>
          <w:kern w:val="0"/>
          <w:sz w:val="24"/>
          <w:highlight w:val="none"/>
          <w:u w:val="none" w:color="auto"/>
        </w:rPr>
        <w:t>氏名　　　　　　　　　）</w:t>
      </w:r>
    </w:p>
    <w:p>
      <w:pPr>
        <w:pStyle w:val="0"/>
        <w:jc w:val="left"/>
        <w:rPr>
          <w:rFonts w:hint="eastAsia" w:asciiTheme="minorEastAsia" w:hAnsiTheme="minorEastAsia" w:eastAsiaTheme="minorEastAsia"/>
          <w:snapToGrid w:val="0"/>
          <w:color w:val="000000" w:themeColor="text1"/>
          <w:kern w:val="0"/>
          <w:sz w:val="24"/>
          <w:highlight w:val="none"/>
          <w:u w:val="none" w:color="auto"/>
        </w:rPr>
      </w:pPr>
    </w:p>
    <w:p>
      <w:pPr>
        <w:pStyle w:val="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神栖市認知症高齢者等保護情報共有事業を利用するに当たり、次の事項に同意します。</w:t>
      </w:r>
    </w:p>
    <w:p>
      <w:pPr>
        <w:pStyle w:val="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-165735</wp:posOffset>
                </wp:positionH>
                <wp:positionV relativeFrom="paragraph">
                  <wp:posOffset>67310</wp:posOffset>
                </wp:positionV>
                <wp:extent cx="6246495" cy="638365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46495" cy="6383655"/>
                        </a:xfrm>
                        <a:prstGeom prst="rect">
                          <a:avLst/>
                        </a:prstGeom>
                        <a:noFill/>
                        <a:ln w="19050" cap="flat" cmpd="sng" algn="ctr">
                          <a:solidFill>
                            <a:sysClr val="windowText" lastClr="000000"/>
                          </a:solidFill>
                          <a:prstDash val="solid"/>
                          <a:miter lim="800000"/>
                        </a:ln>
                        <a:effectLst/>
                      </wps:spPr>
                      <wps:bodyPr/>
                    </wps:wsp>
                  </a:graphicData>
                </a:graphic>
              </wp:anchor>
            </w:drawing>
          </mc:Choice>
          <mc:Fallback>
            <w:pict>
              <v:rect id="正方形/長方形 1" style="mso-position-vertical-relative:text;z-index:2;mso-wrap-distance-left:9pt;width:491.85pt;height:502.65pt;mso-position-horizontal-relative:text;position:absolute;margin-left:-13.05pt;margin-top:5.3pt;mso-wrap-distance-bottom:0pt;mso-wrap-distance-right:9pt;mso-wrap-distance-top:0pt;" o:spid="_x0000_s1026" o:allowincell="t" o:allowoverlap="t" filled="f" stroked="t" strokecolor="#000000" strokeweight="1.5pt" o:spt="1">
                <v:fill/>
                <v:stroke linestyle="single" miterlimit="8" endcap="flat" dashstyle="solid" filltype="solid"/>
                <v:textbox style="layout-flow:horizontal;"/>
                <v:imagedata o:title=""/>
                <w10:wrap type="none" anchorx="text" anchory="text"/>
              </v:rect>
            </w:pict>
          </mc:Fallback>
        </mc:AlternateContent>
      </w:r>
    </w:p>
    <w:p>
      <w:pPr>
        <w:pStyle w:val="0"/>
        <w:tabs>
          <w:tab w:val="left" w:leader="none" w:pos="284"/>
        </w:tabs>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１　神栖市認知症高齢者等保護情報共有事業（以下「保護情報共有事業」という。）を利用できる期間は、市が交付の決定をした日から利用の終了又は交付の取消しの日までとすること。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２　天災等の不可抗力や機器の点検により、事業者の業務が中断し、保護情報の提供が行えない場合があること。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３　保護情報共有事業の利用により発見された</w:t>
      </w:r>
      <w:r>
        <w:rPr>
          <w:rFonts w:hint="eastAsia" w:asciiTheme="minorEastAsia" w:hAnsiTheme="minorEastAsia" w:eastAsiaTheme="minorEastAsia"/>
          <w:strike w:val="0"/>
          <w:dstrike w:val="0"/>
          <w:snapToGrid w:val="0"/>
          <w:color w:val="000000" w:themeColor="text1"/>
          <w:kern w:val="0"/>
          <w:sz w:val="24"/>
          <w:highlight w:val="none"/>
          <w:u w:val="none" w:color="auto"/>
        </w:rPr>
        <w:t>対象者</w:t>
      </w:r>
      <w:r>
        <w:rPr>
          <w:rFonts w:hint="eastAsia" w:asciiTheme="minorEastAsia" w:hAnsiTheme="minorEastAsia" w:eastAsiaTheme="minorEastAsia"/>
          <w:snapToGrid w:val="0"/>
          <w:color w:val="000000" w:themeColor="text1"/>
          <w:kern w:val="0"/>
          <w:sz w:val="24"/>
          <w:highlight w:val="none"/>
          <w:u w:val="none" w:color="auto"/>
        </w:rPr>
        <w:t>の保護を自己責任において行うこと。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４　保護情報共有事業の利用に当たり、認知症高齢者等及び緊急時連絡先等の情報を、認知症高齢者等が居住する地域を担当する地域包括支援センター</w:t>
      </w:r>
      <w:r>
        <w:rPr>
          <w:rFonts w:hint="eastAsia" w:asciiTheme="minorEastAsia" w:hAnsiTheme="minorEastAsia" w:eastAsiaTheme="minorEastAsia"/>
          <w:strike w:val="0"/>
          <w:dstrike w:val="0"/>
          <w:snapToGrid w:val="0"/>
          <w:color w:val="000000" w:themeColor="text1"/>
          <w:kern w:val="0"/>
          <w:sz w:val="24"/>
          <w:highlight w:val="none"/>
          <w:u w:val="none" w:color="auto"/>
        </w:rPr>
        <w:t>及び</w:t>
      </w:r>
      <w:r>
        <w:rPr>
          <w:rFonts w:hint="eastAsia" w:asciiTheme="minorEastAsia" w:hAnsiTheme="minorEastAsia" w:eastAsiaTheme="minorEastAsia"/>
          <w:snapToGrid w:val="0"/>
          <w:color w:val="000000" w:themeColor="text1"/>
          <w:kern w:val="0"/>
          <w:sz w:val="24"/>
          <w:highlight w:val="none"/>
          <w:u w:val="none" w:color="auto"/>
        </w:rPr>
        <w:t>轄する警察署に市が提供すること。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５　保護情報共有事業の利用に当たり、次の各号のいずれかに該当するときは、速やかに届出をすること。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trike w:val="0"/>
          <w:dstrike w:val="0"/>
          <w:snapToGrid w:val="0"/>
          <w:color w:val="000000" w:themeColor="text1"/>
          <w:kern w:val="0"/>
          <w:sz w:val="24"/>
          <w:highlight w:val="none"/>
          <w:u w:val="none" w:color="auto"/>
        </w:rPr>
        <w:t>　（１）認知症高齢者等の氏名又は住所に変更が生じたとき。</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trike w:val="0"/>
          <w:dstrike w:val="0"/>
          <w:snapToGrid w:val="0"/>
          <w:color w:val="000000" w:themeColor="text1"/>
          <w:kern w:val="0"/>
          <w:sz w:val="24"/>
          <w:highlight w:val="none"/>
          <w:u w:val="none" w:color="auto"/>
        </w:rPr>
        <w:t>　（２）緊急時連絡先の情報に変更が生じたとき。</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（３）保護情報共有事業の利用を終了するとき。</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（４）認知症高齢者等が介護保険施設等に入所し、在宅でなくなったとき。</w:t>
      </w:r>
    </w:p>
    <w:p>
      <w:pPr>
        <w:pStyle w:val="0"/>
        <w:spacing w:line="320" w:lineRule="exact"/>
        <w:ind w:left="458" w:leftChars="100" w:right="-84" w:rightChars="-35"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（５）認知症高齢者等が長期に渡り入院又は療養し、在宅に戻る見込みが立たないとき。</w:t>
      </w:r>
    </w:p>
    <w:p>
      <w:pPr>
        <w:pStyle w:val="0"/>
        <w:spacing w:line="320" w:lineRule="exact"/>
        <w:ind w:left="239" w:left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（６）認知症高齢者等が市外へ転出したとき。</w:t>
      </w:r>
    </w:p>
    <w:p>
      <w:pPr>
        <w:pStyle w:val="0"/>
        <w:spacing w:line="320" w:lineRule="exact"/>
        <w:ind w:left="239" w:left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（７）認知症高齢者等が死亡したとき。</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　（８）認知症高齢者等の要件に該当しなくなったとき。</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６　</w:t>
      </w:r>
      <w:r>
        <w:rPr>
          <w:rFonts w:hint="eastAsia" w:asciiTheme="minorEastAsia" w:hAnsiTheme="minorEastAsia" w:eastAsiaTheme="minorEastAsia"/>
          <w:strike w:val="0"/>
          <w:dstrike w:val="0"/>
          <w:snapToGrid w:val="0"/>
          <w:color w:val="000000" w:themeColor="text1"/>
          <w:kern w:val="0"/>
          <w:sz w:val="24"/>
          <w:highlight w:val="none"/>
          <w:u w:val="none" w:color="auto"/>
        </w:rPr>
        <w:t>前項の</w:t>
      </w:r>
      <w:r>
        <w:rPr>
          <w:rFonts w:hint="eastAsia" w:asciiTheme="minorEastAsia" w:hAnsiTheme="minorEastAsia" w:eastAsiaTheme="minorEastAsia"/>
          <w:snapToGrid w:val="0"/>
          <w:color w:val="000000" w:themeColor="text1"/>
          <w:kern w:val="0"/>
          <w:sz w:val="24"/>
          <w:highlight w:val="none"/>
          <w:u w:val="none" w:color="auto"/>
        </w:rPr>
        <w:t>届出を速やかに行わないときは、市長は利用の取消しを行うことができること。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７　配布した標示物の維持管理は、善良な管理者として責任をもって行い、認知症高齢者等以外の者への譲渡や転貸、不正に使用しないこと。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８　配布した標示物の全部又は一部を破損し、又は滅失したときは、速やかに介護者等が市へ連絡し、指示に従うこと。この場合において、再交付に係る実費負担相当額を負担することがあること。</w:t>
      </w:r>
    </w:p>
    <w:p>
      <w:pPr>
        <w:pStyle w:val="0"/>
        <w:spacing w:line="320" w:lineRule="exact"/>
        <w:ind w:left="219" w:hanging="219" w:hangingChars="100"/>
        <w:jc w:val="left"/>
        <w:rPr>
          <w:rFonts w:hint="eastAsia" w:asciiTheme="minorEastAsia" w:hAnsiTheme="minorEastAsia" w:eastAsiaTheme="minorEastAsia"/>
          <w:snapToGrid w:val="0"/>
          <w:color w:val="000000" w:themeColor="text1"/>
          <w:kern w:val="0"/>
          <w:sz w:val="24"/>
          <w:highlight w:val="none"/>
          <w:u w:val="none" w:color="auto"/>
        </w:rPr>
      </w:pPr>
      <w:r>
        <w:rPr>
          <w:rFonts w:hint="eastAsia" w:asciiTheme="minorEastAsia" w:hAnsiTheme="minorEastAsia" w:eastAsiaTheme="minorEastAsia"/>
          <w:snapToGrid w:val="0"/>
          <w:color w:val="000000" w:themeColor="text1"/>
          <w:kern w:val="0"/>
          <w:sz w:val="24"/>
          <w:highlight w:val="none"/>
          <w:u w:val="none" w:color="auto"/>
        </w:rPr>
        <w:t>９　認知症高齢者等の家族以外の者が申請するときは、</w:t>
      </w:r>
      <w:bookmarkStart w:id="0" w:name="_GoBack"/>
      <w:bookmarkEnd w:id="0"/>
      <w:r>
        <w:rPr>
          <w:rFonts w:hint="eastAsia" w:asciiTheme="minorEastAsia" w:hAnsiTheme="minorEastAsia" w:eastAsiaTheme="minorEastAsia"/>
          <w:snapToGrid w:val="0"/>
          <w:color w:val="000000" w:themeColor="text1"/>
          <w:kern w:val="0"/>
          <w:sz w:val="24"/>
          <w:highlight w:val="none"/>
          <w:u w:val="none" w:color="auto"/>
        </w:rPr>
        <w:t>認知症高齢者等の家族から保護情報共有事業を利用する旨の同意を得ていること。</w:t>
      </w:r>
    </w:p>
    <w:sectPr>
      <w:pgSz w:w="11906" w:h="16838"/>
      <w:pgMar w:top="1077" w:right="1304" w:bottom="1077" w:left="1247" w:header="851" w:footer="992" w:gutter="0"/>
      <w:cols w:space="720"/>
      <w:textDirection w:val="lrTb"/>
      <w:docGrid w:type="linesAndChars" w:linePitch="416" w:charSpace="-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Theme="minorEastAsia" w:hAnsiTheme="minorEastAsia" w:eastAsiaTheme="minorEastAsia"/>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cm"/>
    <w:basedOn w:val="10"/>
    <w:next w:val="24"/>
    <w:link w:val="0"/>
    <w:uiPriority w:val="0"/>
    <w:qFormat/>
  </w:style>
  <w:style w:type="paragraph" w:styleId="25" w:customStyle="1">
    <w:name w:val="hanging14"/>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0"/>
      <w:sz w:val="21"/>
      <w:highlight w:val="none"/>
      <w:u w:val="none" w:color="auto"/>
      <w:bdr w:val="none" w:color="auto" w:sz="0" w:space="0"/>
      <w:shd w:val="clear" w:color="auto" w:fill="auto"/>
      <w:vertAlign w:val="baseline"/>
      <w:em w:val="none"/>
    </w:rPr>
  </w:style>
  <w:style w:type="table" w:styleId="26">
    <w:name w:val="Table Grid"/>
    <w:basedOn w:val="11"/>
    <w:next w:val="26"/>
    <w:link w:val="0"/>
    <w:uiPriority w:val="0"/>
    <w:rPr>
      <w:rFonts w:asciiTheme="minorHAnsi" w:hAnsiTheme="minorHAnsi" w:eastAsiaTheme="minorEastAsia"/>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
    <w:basedOn w:val="11"/>
    <w:next w:val="27"/>
    <w:link w:val="0"/>
    <w:uiPriority w:val="0"/>
    <w:rPr>
      <w:rFonts w:ascii="游明朝" w:hAnsi="游明朝" w:eastAsia="游明朝"/>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4159</TotalTime>
  <Pages>1</Pages>
  <Words>0</Words>
  <Characters>851</Characters>
  <Application>JUST Note</Application>
  <Lines>42</Lines>
  <Paragraphs>24</Paragraphs>
  <Company>Toshiba</Company>
  <CharactersWithSpaces>921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CLKN2815</dc:creator>
  <cp:lastModifiedBy>花輪　恵美子</cp:lastModifiedBy>
  <cp:lastPrinted>2023-08-25T05:31:57Z</cp:lastPrinted>
  <dcterms:created xsi:type="dcterms:W3CDTF">2022-06-28T02:50:00Z</dcterms:created>
  <dcterms:modified xsi:type="dcterms:W3CDTF">2023-08-25T05:32:02Z</dcterms:modified>
  <cp:revision>39</cp:revision>
</cp:coreProperties>
</file>